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41469" w14:textId="66EC5BA8" w:rsidR="00ED2F9A" w:rsidRPr="00095E34" w:rsidRDefault="00ED2F9A">
      <w:pPr>
        <w:rPr>
          <w:rFonts w:ascii="Verdana" w:hAnsi="Verdana"/>
          <w:b/>
          <w:bCs/>
        </w:rPr>
      </w:pPr>
      <w:r w:rsidRPr="00095E34">
        <w:rPr>
          <w:rFonts w:ascii="Verdana" w:hAnsi="Verdana"/>
          <w:b/>
          <w:bCs/>
        </w:rPr>
        <w:t>PREFACE BY THE RESEARCHER-TRANSLATOR</w:t>
      </w:r>
    </w:p>
    <w:p w14:paraId="4A3D3005" w14:textId="779778B1" w:rsidR="0020212B" w:rsidRPr="00095E34" w:rsidRDefault="00ED2F9A" w:rsidP="009F3259">
      <w:pPr>
        <w:pStyle w:val="NoSpacing"/>
        <w:jc w:val="both"/>
        <w:rPr>
          <w:rFonts w:ascii="Verdana" w:hAnsi="Verdana"/>
        </w:rPr>
      </w:pPr>
      <w:r w:rsidRPr="00095E34">
        <w:rPr>
          <w:rFonts w:ascii="Verdana" w:hAnsi="Verdana"/>
        </w:rPr>
        <w:tab/>
      </w:r>
      <w:r w:rsidR="0020212B" w:rsidRPr="00095E34">
        <w:rPr>
          <w:rFonts w:ascii="Verdana" w:hAnsi="Verdana"/>
        </w:rPr>
        <w:t>This book is a comprehensive work that integrates theoretical perspectives, methodological approaches, and practical applications for promoting human-centered development, discovering individuals’ inner strengths and potential, and fostering a culture of mutual growth and development.</w:t>
      </w:r>
      <w:r w:rsidR="0020212B" w:rsidRPr="00095E34">
        <w:rPr>
          <w:rFonts w:ascii="Verdana" w:hAnsi="Verdana"/>
        </w:rPr>
        <w:t xml:space="preserve"> </w:t>
      </w:r>
      <w:r w:rsidR="0020212B" w:rsidRPr="00095E34">
        <w:rPr>
          <w:rFonts w:ascii="Verdana" w:hAnsi="Verdana"/>
        </w:rPr>
        <w:t>A distinctive feature of this work is its systematic presentation of evidence-based assessment and support strategies, grounded in scientific analyses of the factors that influence human development, particularly the growth and development of children. The book explores these factors in depth and provides structured frameworks and practical methodologies for understanding, assessing, and supporting developmental processes across various stages of life.</w:t>
      </w:r>
    </w:p>
    <w:p w14:paraId="617B7BD7" w14:textId="185D2C78" w:rsidR="00AA56DB" w:rsidRPr="00095E34" w:rsidRDefault="00ED2F9A" w:rsidP="009F3259">
      <w:pPr>
        <w:pStyle w:val="NoSpacing"/>
        <w:jc w:val="both"/>
        <w:rPr>
          <w:rFonts w:ascii="Verdana" w:hAnsi="Verdana"/>
        </w:rPr>
      </w:pPr>
      <w:r w:rsidRPr="00095E34">
        <w:rPr>
          <w:rFonts w:ascii="Verdana" w:hAnsi="Verdana"/>
        </w:rPr>
        <w:tab/>
      </w:r>
      <w:r w:rsidRPr="00095E34">
        <w:rPr>
          <w:rFonts w:ascii="Verdana" w:hAnsi="Verdana"/>
        </w:rPr>
        <w:t>The theory of empowerment</w:t>
      </w:r>
      <w:r w:rsidR="00AA56DB" w:rsidRPr="00095E34">
        <w:rPr>
          <w:rFonts w:ascii="Verdana" w:hAnsi="Verdana"/>
        </w:rPr>
        <w:t xml:space="preserve"> </w:t>
      </w:r>
      <w:r w:rsidR="00AA56DB" w:rsidRPr="00095E34">
        <w:rPr>
          <w:rFonts w:ascii="Verdana" w:hAnsi="Verdana"/>
        </w:rPr>
        <w:t>represents the vision of a society in which every individual recognizes themselves as the agent of their own life, respects the uniqueness and diversity of others, and actively participates in building a collaborative and inclusive community. Developed through many years of research, this theory and its methodologies hold significant relevance for contemporary Mongolian society by fostering empowered and socially responsible citizens, strengthening family relationships, supporting the development of children’s social competencies from an early age, and promoting development-oriented practices within organizations and communities.</w:t>
      </w:r>
      <w:r w:rsidR="00AA56DB" w:rsidRPr="00095E34">
        <w:rPr>
          <w:rFonts w:ascii="Verdana" w:hAnsi="Verdana"/>
        </w:rPr>
        <w:t xml:space="preserve"> </w:t>
      </w:r>
      <w:r w:rsidR="00AA56DB" w:rsidRPr="00095E34">
        <w:rPr>
          <w:rFonts w:ascii="Verdana" w:hAnsi="Verdana"/>
        </w:rPr>
        <w:t>A significant contribution of this work is its systematic presentation of practical assessment criteria and indicators for the early identification of developmental delays, the understanding and support of children with diverse needs, and the promotion of children’s holistic growth and development through evidence-based, accessible, and practical approaches.</w:t>
      </w:r>
    </w:p>
    <w:p w14:paraId="2326A060" w14:textId="74FC89E7" w:rsidR="00ED2F9A" w:rsidRPr="00095E34" w:rsidRDefault="00ED2F9A" w:rsidP="009F3259">
      <w:pPr>
        <w:pStyle w:val="NoSpacing"/>
        <w:jc w:val="both"/>
        <w:rPr>
          <w:rFonts w:ascii="Verdana" w:hAnsi="Verdana"/>
        </w:rPr>
      </w:pPr>
      <w:r w:rsidRPr="00095E34">
        <w:rPr>
          <w:rFonts w:ascii="Verdana" w:hAnsi="Verdana"/>
        </w:rPr>
        <w:tab/>
      </w:r>
      <w:r w:rsidRPr="00095E34">
        <w:rPr>
          <w:rFonts w:ascii="Verdana" w:hAnsi="Verdana"/>
        </w:rPr>
        <w:t>In</w:t>
      </w:r>
      <w:r w:rsidR="0020212B" w:rsidRPr="00095E34">
        <w:rPr>
          <w:rFonts w:ascii="Verdana" w:hAnsi="Verdana"/>
        </w:rPr>
        <w:t xml:space="preserve"> </w:t>
      </w:r>
      <w:r w:rsidRPr="00095E34">
        <w:rPr>
          <w:rFonts w:ascii="Verdana" w:hAnsi="Verdana"/>
        </w:rPr>
        <w:t>supporting children’s development, the attitudes, knowledge, and skills of parents, teachers, and professionals play a</w:t>
      </w:r>
      <w:r w:rsidR="0006773B" w:rsidRPr="00095E34">
        <w:rPr>
          <w:rFonts w:ascii="Verdana" w:hAnsi="Verdana"/>
        </w:rPr>
        <w:t xml:space="preserve"> critical</w:t>
      </w:r>
      <w:r w:rsidRPr="00095E34">
        <w:rPr>
          <w:rFonts w:ascii="Verdana" w:hAnsi="Verdana"/>
        </w:rPr>
        <w:t xml:space="preserve"> role.</w:t>
      </w:r>
      <w:r w:rsidR="00A12D2C" w:rsidRPr="00095E34">
        <w:rPr>
          <w:rFonts w:ascii="Verdana" w:hAnsi="Verdana"/>
        </w:rPr>
        <w:t xml:space="preserve"> </w:t>
      </w:r>
      <w:r w:rsidRPr="00095E34">
        <w:rPr>
          <w:rFonts w:ascii="Verdana" w:hAnsi="Verdana"/>
        </w:rPr>
        <w:t>Therefore, this work is intended for everyone who values human-centered principles and is committed to promoting human well-being, including professionals in the fields of education and healthcare, leaders and administrators, as well as non-governmental organizations working for the benefit of society.</w:t>
      </w:r>
    </w:p>
    <w:p w14:paraId="718E12E8" w14:textId="0B67E862" w:rsidR="0006773B" w:rsidRPr="00095E34" w:rsidRDefault="00ED2F9A" w:rsidP="009F3259">
      <w:pPr>
        <w:pStyle w:val="NoSpacing"/>
        <w:jc w:val="both"/>
        <w:rPr>
          <w:rFonts w:ascii="Verdana" w:hAnsi="Verdana"/>
        </w:rPr>
      </w:pPr>
      <w:r w:rsidRPr="00095E34">
        <w:rPr>
          <w:rFonts w:ascii="Verdana" w:hAnsi="Verdana"/>
        </w:rPr>
        <w:tab/>
      </w:r>
      <w:r w:rsidR="0006773B" w:rsidRPr="00095E34">
        <w:rPr>
          <w:rFonts w:ascii="Verdana" w:hAnsi="Verdana"/>
        </w:rPr>
        <w:t>With the official authorization of the author, this book has been translated into Mongolian with the utmost care to accurately convey the original content while preserving its theoretical foundations, conceptual framework, and logical structure. Although Japan and Mongolia have distinct cultural backgrounds and living environments, both societies share a common aspiration toward human development and the enhancement of human potential.</w:t>
      </w:r>
      <w:r w:rsidR="0006773B" w:rsidRPr="00095E34">
        <w:rPr>
          <w:rFonts w:ascii="Verdana" w:hAnsi="Verdana"/>
        </w:rPr>
        <w:t xml:space="preserve"> </w:t>
      </w:r>
      <w:r w:rsidR="0006773B" w:rsidRPr="00095E34">
        <w:rPr>
          <w:rFonts w:ascii="Verdana" w:hAnsi="Verdana"/>
        </w:rPr>
        <w:t>As a researcher, I have added Chapter 4 to adapt and contextualize the concepts presented in this work within the Mongolian social and cultural context. This additional chapter incorporates a review of relevant research findings and provides practical recommendations to facilitate the application of these principles in Mongolia.</w:t>
      </w:r>
    </w:p>
    <w:p w14:paraId="7FBFE50E" w14:textId="24206EC5" w:rsidR="0006773B" w:rsidRPr="00095E34" w:rsidRDefault="00ED2F9A" w:rsidP="009F3259">
      <w:pPr>
        <w:pStyle w:val="NoSpacing"/>
        <w:jc w:val="both"/>
        <w:rPr>
          <w:rFonts w:ascii="Verdana" w:hAnsi="Verdana"/>
        </w:rPr>
      </w:pPr>
      <w:r w:rsidRPr="00095E34">
        <w:rPr>
          <w:rFonts w:ascii="Verdana" w:hAnsi="Verdana"/>
        </w:rPr>
        <w:tab/>
      </w:r>
      <w:r w:rsidR="0006773B" w:rsidRPr="00095E34">
        <w:rPr>
          <w:rFonts w:ascii="Verdana" w:hAnsi="Verdana"/>
        </w:rPr>
        <w:t xml:space="preserve">The author of this book, Professor </w:t>
      </w:r>
      <w:proofErr w:type="spellStart"/>
      <w:r w:rsidR="0006773B" w:rsidRPr="00095E34">
        <w:rPr>
          <w:rFonts w:ascii="Verdana" w:hAnsi="Verdana"/>
        </w:rPr>
        <w:t>Tokie</w:t>
      </w:r>
      <w:proofErr w:type="spellEnd"/>
      <w:r w:rsidR="0006773B" w:rsidRPr="00095E34">
        <w:rPr>
          <w:rFonts w:ascii="Verdana" w:hAnsi="Verdana"/>
        </w:rPr>
        <w:t xml:space="preserve"> </w:t>
      </w:r>
      <w:proofErr w:type="spellStart"/>
      <w:r w:rsidR="0006773B" w:rsidRPr="00095E34">
        <w:rPr>
          <w:rFonts w:ascii="Verdana" w:hAnsi="Verdana"/>
        </w:rPr>
        <w:t>Anme</w:t>
      </w:r>
      <w:proofErr w:type="spellEnd"/>
      <w:r w:rsidR="0006773B" w:rsidRPr="00095E34">
        <w:rPr>
          <w:rFonts w:ascii="Verdana" w:hAnsi="Verdana"/>
        </w:rPr>
        <w:t>, is my research supervisor and academic advisor, and we continue to collaborate in the field of research to this day.</w:t>
      </w:r>
      <w:r w:rsidR="0006773B" w:rsidRPr="00095E34">
        <w:rPr>
          <w:rFonts w:ascii="Verdana" w:hAnsi="Verdana"/>
        </w:rPr>
        <w:t xml:space="preserve"> </w:t>
      </w:r>
      <w:r w:rsidR="0006773B" w:rsidRPr="00095E34">
        <w:rPr>
          <w:rFonts w:ascii="Verdana" w:hAnsi="Verdana"/>
        </w:rPr>
        <w:t>Being a member of a long-term research team under her guidance has been an invaluable and transformative experience in my academic journey.</w:t>
      </w:r>
      <w:r w:rsidR="0006773B" w:rsidRPr="00095E34">
        <w:rPr>
          <w:rFonts w:ascii="Verdana" w:hAnsi="Verdana"/>
        </w:rPr>
        <w:t xml:space="preserve"> </w:t>
      </w:r>
      <w:r w:rsidR="0006773B" w:rsidRPr="00095E34">
        <w:rPr>
          <w:rFonts w:ascii="Verdana" w:hAnsi="Verdana"/>
        </w:rPr>
        <w:t>I am therefore deeply grateful for the opportunity to contribute to the translation and dissemination of this significant work, which carries important implications for advancing human-centered development and supporting children’s growth and well-being.</w:t>
      </w:r>
    </w:p>
    <w:p w14:paraId="28EDCBBF" w14:textId="5C802A5B" w:rsidR="009F3259" w:rsidRPr="00095E34" w:rsidRDefault="00AA56DB" w:rsidP="00095E34">
      <w:pPr>
        <w:pStyle w:val="NoSpacing"/>
        <w:jc w:val="both"/>
        <w:rPr>
          <w:rFonts w:ascii="Verdana" w:hAnsi="Verdana"/>
        </w:rPr>
      </w:pPr>
      <w:r w:rsidRPr="00095E34">
        <w:rPr>
          <w:rFonts w:ascii="Verdana" w:hAnsi="Verdana"/>
        </w:rPr>
        <w:tab/>
      </w:r>
      <w:r w:rsidR="0006773B" w:rsidRPr="00095E34">
        <w:rPr>
          <w:rFonts w:ascii="Verdana" w:hAnsi="Verdana"/>
        </w:rPr>
        <w:t>Through the implementation of this methodology, supported by skilled professionals and practitioners, we can make an invaluable investment in future generations and create opportunities for every individual to lead a meaningful, fulfilling, and joyful life.</w:t>
      </w:r>
      <w:r w:rsidRPr="00095E34">
        <w:rPr>
          <w:rFonts w:ascii="Verdana" w:hAnsi="Verdana"/>
        </w:rPr>
        <w:t xml:space="preserve"> </w:t>
      </w:r>
      <w:r w:rsidR="0006773B" w:rsidRPr="00095E34">
        <w:rPr>
          <w:rFonts w:ascii="Verdana" w:hAnsi="Verdana"/>
        </w:rPr>
        <w:t>I sincerely believe that this work will serve as a meaningful and practical contribution to strengthening the development of Mongolian families and supporting the growth, well-being, and happiness of every child.</w:t>
      </w:r>
    </w:p>
    <w:p w14:paraId="47B2BA9D" w14:textId="77777777" w:rsidR="009F3259" w:rsidRPr="009F3259" w:rsidRDefault="009F3259" w:rsidP="009F3259">
      <w:pPr>
        <w:pStyle w:val="NoSpacing"/>
        <w:rPr>
          <w:rFonts w:ascii="Verdana" w:eastAsia="Times New Roman" w:hAnsi="Verdana" w:cs="Times New Roman"/>
        </w:rPr>
      </w:pPr>
    </w:p>
    <w:p w14:paraId="78274D15" w14:textId="77A63FDE" w:rsidR="0020212B" w:rsidRPr="0020212B" w:rsidRDefault="00AA56DB" w:rsidP="0020212B">
      <w:pPr>
        <w:jc w:val="center"/>
        <w:rPr>
          <w:rFonts w:ascii="Verdana" w:hAnsi="Verdana"/>
          <w:b/>
          <w:bCs/>
          <w:sz w:val="24"/>
          <w:szCs w:val="24"/>
        </w:rPr>
      </w:pPr>
      <w:r w:rsidRPr="00AA56DB">
        <w:rPr>
          <w:rFonts w:ascii="Verdana" w:hAnsi="Verdana"/>
          <w:b/>
          <w:bCs/>
          <w:sz w:val="24"/>
          <w:szCs w:val="24"/>
        </w:rPr>
        <w:t>CHAPTER IV: FOSTERING “EMPOWERED CITIZENS” THROUGH THE IMPROVEMENT OF CHILD-REARING ENVIRONMENTS</w:t>
      </w:r>
    </w:p>
    <w:p w14:paraId="76AB8CC8" w14:textId="77777777" w:rsidR="0020212B" w:rsidRPr="009F3259" w:rsidRDefault="0020212B" w:rsidP="009F3259">
      <w:pPr>
        <w:pStyle w:val="NoSpacing"/>
        <w:jc w:val="both"/>
        <w:rPr>
          <w:rFonts w:ascii="Verdana" w:hAnsi="Verdana"/>
        </w:rPr>
      </w:pPr>
    </w:p>
    <w:p w14:paraId="46BC5BA4" w14:textId="5EF018F4" w:rsidR="00AA56DB" w:rsidRDefault="00AA56DB" w:rsidP="009F3259">
      <w:pPr>
        <w:pStyle w:val="NoSpacing"/>
        <w:jc w:val="both"/>
        <w:rPr>
          <w:rFonts w:ascii="Verdana" w:eastAsia="Times New Roman" w:hAnsi="Verdana" w:cs="Times New Roman"/>
          <w:b/>
          <w:bCs/>
        </w:rPr>
      </w:pPr>
      <w:r w:rsidRPr="009F3259">
        <w:rPr>
          <w:rFonts w:ascii="Verdana" w:eastAsia="Times New Roman" w:hAnsi="Verdana" w:cs="Times New Roman"/>
          <w:b/>
          <w:bCs/>
        </w:rPr>
        <w:t>1. A Supportive Family Environment as a Fundamental Foundation for Child Development</w:t>
      </w:r>
    </w:p>
    <w:p w14:paraId="3BFA3A02" w14:textId="77777777" w:rsidR="009F3259" w:rsidRPr="009F3259" w:rsidRDefault="009F3259" w:rsidP="009F3259">
      <w:pPr>
        <w:pStyle w:val="NoSpacing"/>
        <w:jc w:val="both"/>
        <w:rPr>
          <w:rFonts w:ascii="Verdana" w:eastAsia="Times New Roman" w:hAnsi="Verdana" w:cs="Times New Roman"/>
          <w:b/>
          <w:bCs/>
        </w:rPr>
      </w:pPr>
    </w:p>
    <w:p w14:paraId="64DEBE2B" w14:textId="77777777" w:rsidR="009F3259" w:rsidRPr="009F3259" w:rsidRDefault="009F3259" w:rsidP="009F3259">
      <w:pPr>
        <w:pStyle w:val="NoSpacing"/>
        <w:jc w:val="both"/>
        <w:rPr>
          <w:rFonts w:ascii="Verdana" w:eastAsia="Times New Roman" w:hAnsi="Verdana" w:cs="Times New Roman"/>
        </w:rPr>
      </w:pPr>
      <w:r w:rsidRPr="009F3259">
        <w:rPr>
          <w:rFonts w:ascii="Verdana" w:hAnsi="Verdana"/>
        </w:rPr>
        <w:tab/>
      </w:r>
      <w:r w:rsidR="00C403D1" w:rsidRPr="009F3259">
        <w:rPr>
          <w:rFonts w:ascii="Verdana" w:hAnsi="Verdana"/>
        </w:rPr>
        <w:t xml:space="preserve">Children’s growth and development are not determined solely by genetic and biological factors. Rather, they are deeply influenced by the environments in which they grow, particularly through their daily interactions and relationships with parents and caregivers. From the perspective of </w:t>
      </w:r>
      <w:r w:rsidR="00C403D1" w:rsidRPr="009F3259">
        <w:rPr>
          <w:rStyle w:val="Strong"/>
          <w:rFonts w:ascii="Verdana" w:hAnsi="Verdana"/>
          <w:b w:val="0"/>
          <w:bCs w:val="0"/>
        </w:rPr>
        <w:t>Empowerment Theory</w:t>
      </w:r>
      <w:r w:rsidR="00C403D1" w:rsidRPr="009F3259">
        <w:rPr>
          <w:rFonts w:ascii="Verdana" w:hAnsi="Verdana"/>
          <w:b/>
          <w:bCs/>
        </w:rPr>
        <w:t>,</w:t>
      </w:r>
      <w:r w:rsidR="00C403D1" w:rsidRPr="009F3259">
        <w:rPr>
          <w:rFonts w:ascii="Verdana" w:hAnsi="Verdana"/>
        </w:rPr>
        <w:t xml:space="preserve"> the family environment serves as the primary foundation for discovering and nurturing children’s inner resources and potential. It enables them to develop the essential capacity to become active agents of their own lives.</w:t>
      </w:r>
      <w:r w:rsidR="00C403D1" w:rsidRPr="009F3259">
        <w:rPr>
          <w:rFonts w:ascii="Verdana" w:eastAsia="Times New Roman" w:hAnsi="Verdana" w:cs="Times New Roman"/>
        </w:rPr>
        <w:t xml:space="preserve"> </w:t>
      </w:r>
      <w:r w:rsidR="00C403D1" w:rsidRPr="009F3259">
        <w:rPr>
          <w:rFonts w:ascii="Verdana" w:hAnsi="Verdana"/>
        </w:rPr>
        <w:t>A safe, encouraging, responsive, respectful, and nurturing family environment that recognizes and supports children’s individual development plays a vital role in promoting young children’s social development and social competence.</w:t>
      </w:r>
    </w:p>
    <w:p w14:paraId="28A93925" w14:textId="6BC0F75E" w:rsidR="00BA4D06" w:rsidRPr="009F3259" w:rsidRDefault="00C403D1" w:rsidP="009F3259">
      <w:pPr>
        <w:pStyle w:val="NoSpacing"/>
        <w:jc w:val="both"/>
        <w:rPr>
          <w:rFonts w:ascii="Verdana" w:eastAsia="Times New Roman" w:hAnsi="Verdana" w:cs="Times New Roman"/>
        </w:rPr>
      </w:pPr>
      <w:r w:rsidRPr="009F3259">
        <w:rPr>
          <w:rFonts w:ascii="Verdana" w:hAnsi="Verdana"/>
        </w:rPr>
        <w:t xml:space="preserve">According to Professor </w:t>
      </w:r>
      <w:proofErr w:type="spellStart"/>
      <w:r w:rsidRPr="009F3259">
        <w:rPr>
          <w:rFonts w:ascii="Verdana" w:hAnsi="Verdana"/>
        </w:rPr>
        <w:t>Tokie</w:t>
      </w:r>
      <w:proofErr w:type="spellEnd"/>
      <w:r w:rsidRPr="009F3259">
        <w:rPr>
          <w:rFonts w:ascii="Verdana" w:hAnsi="Verdana"/>
        </w:rPr>
        <w:t xml:space="preserve"> </w:t>
      </w:r>
      <w:proofErr w:type="spellStart"/>
      <w:r w:rsidRPr="009F3259">
        <w:rPr>
          <w:rFonts w:ascii="Verdana" w:hAnsi="Verdana"/>
        </w:rPr>
        <w:t>Anme</w:t>
      </w:r>
      <w:proofErr w:type="spellEnd"/>
      <w:r w:rsidRPr="009F3259">
        <w:rPr>
          <w:rFonts w:ascii="Verdana" w:hAnsi="Verdana"/>
        </w:rPr>
        <w:t>, the optimal environment for child development is defined by the quality of the relationship between parents and children. A positive and responsive relationship activates children’s inner resources and potential, serving as a key foundation for their development into independent individuals who are capable of making decisions.</w:t>
      </w:r>
    </w:p>
    <w:p w14:paraId="413B3776" w14:textId="74AB0279" w:rsidR="009F3259" w:rsidRPr="009F3259" w:rsidRDefault="009F3259" w:rsidP="009F3259">
      <w:pPr>
        <w:pStyle w:val="NoSpacing"/>
        <w:jc w:val="both"/>
        <w:rPr>
          <w:rFonts w:ascii="Verdana" w:hAnsi="Verdana"/>
        </w:rPr>
      </w:pPr>
      <w:r w:rsidRPr="009F3259">
        <w:rPr>
          <w:rFonts w:ascii="Verdana" w:hAnsi="Verdana"/>
        </w:rPr>
        <w:tab/>
      </w:r>
      <w:r w:rsidR="00C403D1" w:rsidRPr="009F3259">
        <w:rPr>
          <w:rFonts w:ascii="Verdana" w:hAnsi="Verdana"/>
        </w:rPr>
        <w:t xml:space="preserve">Although parenting practices vary across cultures, numerous studies have demonstrated that, in all contexts, appropriate and responsive parent–child relationships promote children’s social development. While material conditions such as housing and nutrition provide the foundation for children’s physical growth, the quality of parental interaction plays a more decisive role in children’s cognitive and psychosocial development. As the relationship between parents, caregivers, and children becomes increasingly distant, the risks to children’s psychological development gradually increase. Such disconnection may weaken the child’s “environment for empowerment,” limiting opportunities for growth and development and suppressing their inner resources and potential. </w:t>
      </w:r>
    </w:p>
    <w:p w14:paraId="7F01FF4D" w14:textId="1185C74E" w:rsidR="00BA4D06" w:rsidRDefault="009F3259" w:rsidP="009F3259">
      <w:pPr>
        <w:pStyle w:val="NoSpacing"/>
        <w:jc w:val="both"/>
        <w:rPr>
          <w:rFonts w:ascii="Verdana" w:hAnsi="Verdana"/>
        </w:rPr>
      </w:pPr>
      <w:r w:rsidRPr="009F3259">
        <w:rPr>
          <w:rFonts w:ascii="Verdana" w:hAnsi="Verdana"/>
        </w:rPr>
        <w:tab/>
      </w:r>
      <w:r w:rsidR="00C403D1" w:rsidRPr="009F3259">
        <w:rPr>
          <w:rFonts w:ascii="Verdana" w:hAnsi="Verdana"/>
        </w:rPr>
        <w:t xml:space="preserve">In </w:t>
      </w:r>
      <w:r w:rsidRPr="009F3259">
        <w:rPr>
          <w:rFonts w:ascii="Verdana" w:hAnsi="Verdana"/>
        </w:rPr>
        <w:t>essence</w:t>
      </w:r>
      <w:r w:rsidR="00C403D1" w:rsidRPr="009F3259">
        <w:rPr>
          <w:rFonts w:ascii="Verdana" w:hAnsi="Verdana"/>
        </w:rPr>
        <w:t>, a weakened parent–child relationship can restrict children’s future possibilities and undermine the foundation they need to overcome life’s challenges. Therefore, nurturing and valuing family relationships is not only one of the greatest investments in children’s lives but also one of the most valuable contributions to society as a whole.</w:t>
      </w:r>
    </w:p>
    <w:p w14:paraId="543BA78B" w14:textId="77777777" w:rsidR="009F3259" w:rsidRPr="009F3259" w:rsidRDefault="009F3259" w:rsidP="009F3259">
      <w:pPr>
        <w:pStyle w:val="NoSpacing"/>
        <w:jc w:val="both"/>
        <w:rPr>
          <w:rFonts w:ascii="Verdana" w:eastAsia="Times New Roman" w:hAnsi="Verdana" w:cs="Times New Roman"/>
        </w:rPr>
      </w:pPr>
    </w:p>
    <w:p w14:paraId="654BE103" w14:textId="0F975FC8" w:rsidR="00CD2232" w:rsidRDefault="00CD2232" w:rsidP="009F3259">
      <w:pPr>
        <w:pStyle w:val="NoSpacing"/>
        <w:jc w:val="both"/>
        <w:rPr>
          <w:rFonts w:ascii="Verdana" w:hAnsi="Verdana"/>
          <w:b/>
          <w:bCs/>
        </w:rPr>
      </w:pPr>
      <w:r w:rsidRPr="009F3259">
        <w:rPr>
          <w:rFonts w:ascii="Verdana" w:hAnsi="Verdana"/>
          <w:b/>
          <w:bCs/>
        </w:rPr>
        <w:t>2. Assessing the Child-Rearing Environment: Theoretical and Practical Significance</w:t>
      </w:r>
    </w:p>
    <w:p w14:paraId="3D423ECB" w14:textId="77777777" w:rsidR="009F3259" w:rsidRPr="009F3259" w:rsidRDefault="009F3259" w:rsidP="009F3259">
      <w:pPr>
        <w:pStyle w:val="NoSpacing"/>
        <w:jc w:val="both"/>
        <w:rPr>
          <w:rFonts w:ascii="Verdana" w:hAnsi="Verdana"/>
          <w:b/>
          <w:bCs/>
        </w:rPr>
      </w:pPr>
    </w:p>
    <w:p w14:paraId="2B041206" w14:textId="635529D9" w:rsidR="00CD2232" w:rsidRPr="009F3259" w:rsidRDefault="009F3259" w:rsidP="009F3259">
      <w:pPr>
        <w:pStyle w:val="NoSpacing"/>
        <w:jc w:val="both"/>
        <w:rPr>
          <w:rFonts w:ascii="Verdana" w:hAnsi="Verdana"/>
        </w:rPr>
      </w:pPr>
      <w:r w:rsidRPr="009F3259">
        <w:rPr>
          <w:rFonts w:ascii="Verdana" w:hAnsi="Verdana"/>
        </w:rPr>
        <w:tab/>
      </w:r>
      <w:r w:rsidRPr="009F3259">
        <w:rPr>
          <w:rFonts w:ascii="Verdana" w:hAnsi="Verdana"/>
        </w:rPr>
        <w:t xml:space="preserve">In real-life contexts, how can we determine whether or not children are developing into ‘empowered </w:t>
      </w:r>
      <w:proofErr w:type="gramStart"/>
      <w:r w:rsidRPr="009F3259">
        <w:rPr>
          <w:rFonts w:ascii="Verdana" w:hAnsi="Verdana"/>
        </w:rPr>
        <w:t>citizens’</w:t>
      </w:r>
      <w:proofErr w:type="gramEnd"/>
      <w:r w:rsidRPr="009F3259">
        <w:rPr>
          <w:rFonts w:ascii="Verdana" w:hAnsi="Verdana"/>
        </w:rPr>
        <w:t>? To address this question, it is essential to scientifically assess the child-rearing environment using clear and reliable indicators.</w:t>
      </w:r>
    </w:p>
    <w:p w14:paraId="54AD5160" w14:textId="0A1316B7" w:rsidR="009D52E2" w:rsidRDefault="009F3259" w:rsidP="009F3259">
      <w:pPr>
        <w:pStyle w:val="NoSpacing"/>
        <w:jc w:val="both"/>
        <w:rPr>
          <w:rFonts w:ascii="Verdana" w:hAnsi="Verdana"/>
        </w:rPr>
      </w:pPr>
      <w:r w:rsidRPr="009F3259">
        <w:rPr>
          <w:rFonts w:ascii="Verdana" w:hAnsi="Verdana"/>
        </w:rPr>
        <w:tab/>
      </w:r>
      <w:r w:rsidR="009D52E2" w:rsidRPr="009D52E2">
        <w:rPr>
          <w:rFonts w:ascii="Verdana" w:hAnsi="Verdana"/>
        </w:rPr>
        <w:t xml:space="preserve">As urban and regional development continues to accelerate in Mongolia, significant changes are taking place in traditional nomadic child-rearing practices, family environments, and parent–child relationships. The rapid pace of contemporary life and social transformation is deeply influencing the precious bonds between parents, caregivers, and children, which form an essential part of human relationships. The demands of busy lifestyles, financial pressures, and increased workloads are reducing the “quality time” that parents and children spend together, while the excessive use of digital technologies is creating emotional distance and invisible barriers between them. </w:t>
      </w:r>
      <w:r w:rsidR="009D52E2" w:rsidRPr="009D52E2">
        <w:rPr>
          <w:rFonts w:ascii="Verdana" w:hAnsi="Verdana"/>
        </w:rPr>
        <w:lastRenderedPageBreak/>
        <w:t>Furthermore, the continued presence of overly restrictive and punitive approaches in child-rearing practices highlights the urgent need to integrate traditional wisdom with modern scientific knowledge and to transform parenting approaches accordingly.</w:t>
      </w:r>
    </w:p>
    <w:p w14:paraId="0F84A6CA" w14:textId="79EF0035" w:rsidR="009D52E2" w:rsidRDefault="009D52E2" w:rsidP="009F3259">
      <w:pPr>
        <w:pStyle w:val="NoSpacing"/>
        <w:jc w:val="both"/>
        <w:rPr>
          <w:rFonts w:ascii="Verdana" w:hAnsi="Verdana"/>
        </w:rPr>
      </w:pPr>
      <w:r>
        <w:rPr>
          <w:rFonts w:ascii="Verdana" w:hAnsi="Verdana"/>
        </w:rPr>
        <w:tab/>
      </w:r>
      <w:r w:rsidRPr="009D52E2">
        <w:rPr>
          <w:rFonts w:ascii="Verdana" w:hAnsi="Verdana"/>
        </w:rPr>
        <w:t>The primary responsibility of parents, caregivers, and teachers is not merely to raise obedient children, but to nurture “empowered citizens” who have their own perspectives, the ability to overcome life’s challenges, and the capacity to make independent decisions.</w:t>
      </w:r>
      <w:r>
        <w:rPr>
          <w:rFonts w:ascii="Verdana" w:hAnsi="Verdana"/>
        </w:rPr>
        <w:t xml:space="preserve"> </w:t>
      </w:r>
      <w:r w:rsidRPr="009D52E2">
        <w:rPr>
          <w:rFonts w:ascii="Verdana" w:hAnsi="Verdana"/>
        </w:rPr>
        <w:t>This transformation should begin with parents and caregivers shifting their approach from a “controlling” role to a “supportive” role in their interactions with children.</w:t>
      </w:r>
    </w:p>
    <w:p w14:paraId="5AC7D5BF" w14:textId="795C1311" w:rsidR="009D52E2" w:rsidRPr="009D52E2" w:rsidRDefault="009D52E2" w:rsidP="009D52E2">
      <w:pPr>
        <w:pStyle w:val="NoSpacing"/>
        <w:jc w:val="both"/>
        <w:rPr>
          <w:rFonts w:ascii="Verdana" w:hAnsi="Verdana"/>
        </w:rPr>
      </w:pPr>
      <w:r>
        <w:rPr>
          <w:rFonts w:ascii="Verdana" w:hAnsi="Verdana"/>
        </w:rPr>
        <w:tab/>
      </w:r>
      <w:r w:rsidRPr="009D52E2">
        <w:rPr>
          <w:rFonts w:ascii="Verdana" w:hAnsi="Verdana"/>
        </w:rPr>
        <w:t xml:space="preserve">It is essential for caregivers to objectively reflect on their own interactions with children and identify the specific areas that require attention to support their children’s development. With this aim, we conducted a practical study involving 500 parents and caregivers residing in </w:t>
      </w:r>
      <w:proofErr w:type="spellStart"/>
      <w:r w:rsidRPr="009D52E2">
        <w:rPr>
          <w:rFonts w:ascii="Verdana" w:hAnsi="Verdana"/>
        </w:rPr>
        <w:t>Jargalant</w:t>
      </w:r>
      <w:proofErr w:type="spellEnd"/>
      <w:r w:rsidRPr="009D52E2">
        <w:rPr>
          <w:rFonts w:ascii="Verdana" w:hAnsi="Verdana"/>
        </w:rPr>
        <w:t xml:space="preserve"> </w:t>
      </w:r>
      <w:proofErr w:type="spellStart"/>
      <w:r w:rsidRPr="009D52E2">
        <w:rPr>
          <w:rFonts w:ascii="Verdana" w:hAnsi="Verdana"/>
        </w:rPr>
        <w:t>soum</w:t>
      </w:r>
      <w:proofErr w:type="spellEnd"/>
      <w:r w:rsidRPr="009D52E2">
        <w:rPr>
          <w:rFonts w:ascii="Verdana" w:hAnsi="Verdana"/>
        </w:rPr>
        <w:t xml:space="preserve">, the center of </w:t>
      </w:r>
      <w:proofErr w:type="spellStart"/>
      <w:r w:rsidRPr="009D52E2">
        <w:rPr>
          <w:rFonts w:ascii="Verdana" w:hAnsi="Verdana"/>
        </w:rPr>
        <w:t>Khovd</w:t>
      </w:r>
      <w:proofErr w:type="spellEnd"/>
      <w:r w:rsidRPr="009D52E2">
        <w:rPr>
          <w:rFonts w:ascii="Verdana" w:hAnsi="Verdana"/>
        </w:rPr>
        <w:t xml:space="preserve"> Province, using the “Index of Child-Rearing Environment” developed by Professor </w:t>
      </w:r>
      <w:proofErr w:type="spellStart"/>
      <w:r w:rsidRPr="009D52E2">
        <w:rPr>
          <w:rFonts w:ascii="Verdana" w:hAnsi="Verdana"/>
        </w:rPr>
        <w:t>Toki</w:t>
      </w:r>
      <w:r>
        <w:rPr>
          <w:rFonts w:ascii="Verdana" w:hAnsi="Verdana"/>
        </w:rPr>
        <w:t>e</w:t>
      </w:r>
      <w:proofErr w:type="spellEnd"/>
      <w:r w:rsidRPr="009D52E2">
        <w:rPr>
          <w:rFonts w:ascii="Verdana" w:hAnsi="Verdana"/>
        </w:rPr>
        <w:t xml:space="preserve"> </w:t>
      </w:r>
      <w:proofErr w:type="spellStart"/>
      <w:r w:rsidRPr="009D52E2">
        <w:rPr>
          <w:rFonts w:ascii="Verdana" w:hAnsi="Verdana"/>
        </w:rPr>
        <w:t>Anme</w:t>
      </w:r>
      <w:proofErr w:type="spellEnd"/>
      <w:r w:rsidRPr="009D52E2">
        <w:rPr>
          <w:rFonts w:ascii="Verdana" w:hAnsi="Verdana"/>
        </w:rPr>
        <w:t>. The study was conducted with the following objectives:</w:t>
      </w:r>
    </w:p>
    <w:p w14:paraId="3F5FF81F" w14:textId="77777777" w:rsidR="009D52E2" w:rsidRPr="009D52E2" w:rsidRDefault="009D52E2" w:rsidP="009D52E2">
      <w:pPr>
        <w:pStyle w:val="NoSpacing"/>
        <w:jc w:val="both"/>
        <w:rPr>
          <w:rFonts w:ascii="Verdana" w:hAnsi="Verdana"/>
        </w:rPr>
      </w:pPr>
    </w:p>
    <w:p w14:paraId="5FBEA124" w14:textId="77777777" w:rsidR="009D52E2" w:rsidRPr="009D52E2" w:rsidRDefault="009D52E2" w:rsidP="009D52E2">
      <w:pPr>
        <w:pStyle w:val="NoSpacing"/>
        <w:numPr>
          <w:ilvl w:val="0"/>
          <w:numId w:val="5"/>
        </w:numPr>
        <w:jc w:val="both"/>
        <w:rPr>
          <w:rFonts w:ascii="Verdana" w:hAnsi="Verdana"/>
        </w:rPr>
      </w:pPr>
      <w:r w:rsidRPr="009D52E2">
        <w:rPr>
          <w:rFonts w:ascii="Verdana" w:hAnsi="Verdana"/>
        </w:rPr>
        <w:t>Reflecting the current situation: Rather than evaluating or judging parents and caregivers, the study aimed to provide a clear picture of the current state of their relationships with their children.</w:t>
      </w:r>
    </w:p>
    <w:p w14:paraId="2F38C0CA" w14:textId="77777777" w:rsidR="009D52E2" w:rsidRPr="009D52E2" w:rsidRDefault="009D52E2" w:rsidP="009D52E2">
      <w:pPr>
        <w:pStyle w:val="NoSpacing"/>
        <w:numPr>
          <w:ilvl w:val="0"/>
          <w:numId w:val="5"/>
        </w:numPr>
        <w:jc w:val="both"/>
        <w:rPr>
          <w:rFonts w:ascii="Verdana" w:hAnsi="Verdana"/>
        </w:rPr>
      </w:pPr>
      <w:r w:rsidRPr="009D52E2">
        <w:rPr>
          <w:rFonts w:ascii="Verdana" w:hAnsi="Verdana"/>
        </w:rPr>
        <w:t>Examining the applicability of the assessment tool: To determine whether the child-rearing environment indicators could be applied to assess the unique developmental environments of children growing up in Mongolia.</w:t>
      </w:r>
    </w:p>
    <w:p w14:paraId="2DFCCC36" w14:textId="5EFD54EC" w:rsidR="009D52E2" w:rsidRDefault="009D52E2" w:rsidP="009D52E2">
      <w:pPr>
        <w:pStyle w:val="NoSpacing"/>
        <w:numPr>
          <w:ilvl w:val="0"/>
          <w:numId w:val="5"/>
        </w:numPr>
        <w:jc w:val="both"/>
        <w:rPr>
          <w:rFonts w:ascii="Verdana" w:hAnsi="Verdana"/>
        </w:rPr>
      </w:pPr>
      <w:r w:rsidRPr="009D52E2">
        <w:rPr>
          <w:rFonts w:ascii="Verdana" w:hAnsi="Verdana"/>
        </w:rPr>
        <w:t>Exploring pathways for development: To identify possibilities for integrating traditional Mongolian family child-rearing practices with advances in modern psychological science based on the findings of the study.</w:t>
      </w:r>
    </w:p>
    <w:p w14:paraId="37AFD786" w14:textId="6FEBF7D5" w:rsidR="009D52E2" w:rsidRDefault="009D52E2" w:rsidP="009D52E2">
      <w:pPr>
        <w:pStyle w:val="NoSpacing"/>
        <w:jc w:val="both"/>
        <w:rPr>
          <w:rFonts w:ascii="Verdana" w:hAnsi="Verdana"/>
        </w:rPr>
      </w:pPr>
    </w:p>
    <w:p w14:paraId="4A8FA382" w14:textId="7907150F" w:rsidR="009D52E2" w:rsidRDefault="009D52E2" w:rsidP="009D52E2">
      <w:pPr>
        <w:pStyle w:val="NoSpacing"/>
        <w:jc w:val="both"/>
        <w:rPr>
          <w:rFonts w:ascii="Verdana" w:hAnsi="Verdana"/>
        </w:rPr>
      </w:pPr>
      <w:r w:rsidRPr="009D52E2">
        <w:rPr>
          <w:rFonts w:ascii="Verdana" w:hAnsi="Verdana"/>
        </w:rPr>
        <w:t>The findings of the study indicate that although parents and caregivers share physical space with their children, their active involvement in supporting children’s development remains insufficient. The low frequency of simple yet meaningful activities, such as going outdoors with children, shopping together, singing songs, and reading books to them, calls for deeper reflection on the quality of family relationships. Evidence-based research has demonstrated that these everyday interactions, which caregivers may consider ordinary, play an important role in promoting children’s brain development and creating a sense of psychological safety and emotional security.</w:t>
      </w:r>
      <w:r>
        <w:rPr>
          <w:rFonts w:ascii="Verdana" w:hAnsi="Verdana"/>
        </w:rPr>
        <w:t xml:space="preserve"> </w:t>
      </w:r>
      <w:r w:rsidRPr="009D52E2">
        <w:rPr>
          <w:rFonts w:ascii="Verdana" w:hAnsi="Verdana"/>
        </w:rPr>
        <w:t>Reading books together with children enhances their language development, imagination, and creativity, while singing together contributes to emotional well-being, stress reduction, and improved attention. Likewise, activities such as shopping together and going outdoors stimulate children’s senses, promote independence, and help them develop essential social skills, including making choices, decision-making, and interacting with others. For parents and caregivers, it is crucial to recognize that they are not only raising their children but also growing and becoming empowered together with them.</w:t>
      </w:r>
    </w:p>
    <w:p w14:paraId="429EF261" w14:textId="77777777" w:rsidR="00E57387" w:rsidRDefault="00E57387" w:rsidP="00E57387">
      <w:pPr>
        <w:pStyle w:val="NoSpacing"/>
        <w:jc w:val="both"/>
        <w:rPr>
          <w:rFonts w:ascii="Verdana" w:hAnsi="Verdana"/>
        </w:rPr>
      </w:pPr>
      <w:r>
        <w:rPr>
          <w:rFonts w:ascii="Verdana" w:hAnsi="Verdana"/>
        </w:rPr>
        <w:tab/>
      </w:r>
      <w:r w:rsidRPr="00E57387">
        <w:rPr>
          <w:rFonts w:ascii="Verdana" w:hAnsi="Verdana"/>
        </w:rPr>
        <w:t>Quantitative survey results show that eating meals together as a family and discussing child-rearing issues with family members are common practices among Mongolian households, indicating that traditional family values remain strong. However, qualitative findings reveal that although families often share meals together, many tend to focus their attention on smartphones, other digital devices, or television rather than looking at each other and engaging in meaningful conversations. Directing attention toward screens may result in missing valuable opportunities to support children’s development.</w:t>
      </w:r>
      <w:r>
        <w:rPr>
          <w:rFonts w:ascii="Verdana" w:hAnsi="Verdana"/>
        </w:rPr>
        <w:t xml:space="preserve"> </w:t>
      </w:r>
      <w:r w:rsidRPr="00E57387">
        <w:rPr>
          <w:rFonts w:ascii="Verdana" w:hAnsi="Verdana"/>
        </w:rPr>
        <w:t xml:space="preserve">Furthermore, it is necessary to examine in greater detail parents’ daily interactions with their children, including what types of books they read together, what games they play, where and how much time they spend together when going outdoors, and whom they meet. Understanding these subtle but important factors that influence </w:t>
      </w:r>
      <w:r w:rsidRPr="00E57387">
        <w:rPr>
          <w:rFonts w:ascii="Verdana" w:hAnsi="Verdana"/>
        </w:rPr>
        <w:lastRenderedPageBreak/>
        <w:t>children’s development will provide essential insights for delivering more effective support.</w:t>
      </w:r>
    </w:p>
    <w:p w14:paraId="7B148729" w14:textId="66C55C49" w:rsidR="009D52E2" w:rsidRPr="009F3259" w:rsidRDefault="00E57387" w:rsidP="00E57387">
      <w:pPr>
        <w:pStyle w:val="NoSpacing"/>
        <w:jc w:val="both"/>
        <w:rPr>
          <w:rFonts w:ascii="Verdana" w:hAnsi="Verdana"/>
        </w:rPr>
      </w:pPr>
      <w:r>
        <w:rPr>
          <w:rFonts w:ascii="Verdana" w:hAnsi="Verdana"/>
        </w:rPr>
        <w:tab/>
      </w:r>
      <w:r w:rsidRPr="00E57387">
        <w:rPr>
          <w:rFonts w:ascii="Verdana" w:hAnsi="Verdana"/>
        </w:rPr>
        <w:t>It is commonly observed that parents and caregivers discuss child-rearing matters and exchange experiences within their families and circles of friends. Although having someone close with whom they can talk about their children is valuable, such informal discussions may not fully replace professional knowledge and guidance. The limited tendency among parents to seek support from professional organizations is a matter of concern. Addressing issues related to children’s development solely within the family and relying only on personal experiences may not be sufficient. Therefore, incorporating evidence-based professional recommendations into daily practices represents one of the most meaningful investments in children’s future.</w:t>
      </w:r>
    </w:p>
    <w:p w14:paraId="0C7976C3" w14:textId="71573806" w:rsidR="00E57387" w:rsidRDefault="00E57387" w:rsidP="009F3259">
      <w:pPr>
        <w:pStyle w:val="NoSpacing"/>
        <w:jc w:val="both"/>
        <w:rPr>
          <w:rFonts w:ascii="Verdana" w:hAnsi="Verdana"/>
        </w:rPr>
      </w:pPr>
      <w:r>
        <w:rPr>
          <w:rFonts w:ascii="Verdana" w:hAnsi="Verdana"/>
        </w:rPr>
        <w:tab/>
      </w:r>
      <w:r w:rsidRPr="00E57387">
        <w:rPr>
          <w:rFonts w:ascii="Verdana" w:hAnsi="Verdana"/>
        </w:rPr>
        <w:t>The finding that some parents in the study reported having used physical punishment on their children indicates that child maltreatment remains a real concern. Parents and caregivers may hesitate to openly disclose instances of physical punishment due to fear of social judgment or criticism. Therefore, the actual prevalence of physical violence may be higher than what was identified in the survey, as some cases may remain hidden or underreported.</w:t>
      </w:r>
    </w:p>
    <w:p w14:paraId="182688FE" w14:textId="5696D705" w:rsidR="00E57387" w:rsidRDefault="00E57387" w:rsidP="009F3259">
      <w:pPr>
        <w:pStyle w:val="NoSpacing"/>
        <w:jc w:val="both"/>
        <w:rPr>
          <w:rFonts w:ascii="Verdana" w:hAnsi="Verdana"/>
        </w:rPr>
      </w:pPr>
      <w:r>
        <w:rPr>
          <w:rFonts w:ascii="Verdana" w:hAnsi="Verdana"/>
        </w:rPr>
        <w:tab/>
      </w:r>
      <w:r w:rsidRPr="00E57387">
        <w:rPr>
          <w:rFonts w:ascii="Verdana" w:hAnsi="Verdana"/>
        </w:rPr>
        <w:t>The average scores of the participants were considerably lower compared with benchmarks from developed countries such as Japan. While this finding requires careful consideration, the results also highlight the importance of enabling parents, caregivers, and professionals to better understand the current situation, recognize areas for improvement, and enhance their knowledge of the significance of the child-rearing environment in supporting children’s development.</w:t>
      </w:r>
    </w:p>
    <w:p w14:paraId="7F24EC49" w14:textId="17FAF1B0" w:rsidR="00CD2232" w:rsidRPr="00CD2232" w:rsidRDefault="00CD2232" w:rsidP="0020212B">
      <w:pPr>
        <w:pStyle w:val="NormalWeb"/>
        <w:jc w:val="both"/>
        <w:rPr>
          <w:rFonts w:ascii="Verdana" w:hAnsi="Verdana"/>
          <w:sz w:val="22"/>
          <w:szCs w:val="22"/>
        </w:rPr>
      </w:pPr>
      <w:r w:rsidRPr="00CD2232">
        <w:rPr>
          <w:rFonts w:ascii="Verdana" w:hAnsi="Verdana"/>
          <w:b/>
          <w:bCs/>
          <w:sz w:val="22"/>
          <w:szCs w:val="22"/>
        </w:rPr>
        <w:t>3. Improving the Child’s Developmental Environment from the Perspective of Empowerment Theory</w:t>
      </w:r>
    </w:p>
    <w:p w14:paraId="4635AC27" w14:textId="0712419B" w:rsidR="00095E34" w:rsidRDefault="00095E34" w:rsidP="00095E34">
      <w:pPr>
        <w:pStyle w:val="NoSpacing"/>
        <w:jc w:val="both"/>
        <w:rPr>
          <w:rFonts w:ascii="Verdana" w:hAnsi="Verdana"/>
        </w:rPr>
      </w:pPr>
      <w:r>
        <w:rPr>
          <w:rFonts w:ascii="Verdana" w:hAnsi="Verdana"/>
        </w:rPr>
        <w:tab/>
      </w:r>
      <w:r w:rsidRPr="00095E34">
        <w:rPr>
          <w:rFonts w:ascii="Verdana" w:hAnsi="Verdana"/>
        </w:rPr>
        <w:t>Empowerment theory regards children not simply as objects of care and protection, but as independent individuals with their own strengths, resources, and potential. By combining this theoretical perspective with the assessment of the child-rearing environment, parents and caregivers are provided with an opportunity to reflect on and gain deeper insight into their children’s developmental progress. Granting children opportunities to make decisions, listening to their voices, and using mistakes as learning experiences help foster and unlock their inner strengths and capabilities. Through this approach, the parent–child relationship can evolve from one centered on control toward a relationship based on collaboration, mutual learning, and shared growth.</w:t>
      </w:r>
    </w:p>
    <w:p w14:paraId="626B7AAC" w14:textId="4083CE34" w:rsidR="00095E34" w:rsidRDefault="00095E34" w:rsidP="00095E34">
      <w:pPr>
        <w:pStyle w:val="NoSpacing"/>
        <w:jc w:val="both"/>
        <w:rPr>
          <w:rFonts w:ascii="Verdana" w:hAnsi="Verdana"/>
        </w:rPr>
      </w:pPr>
      <w:r>
        <w:rPr>
          <w:rFonts w:ascii="Verdana" w:hAnsi="Verdana"/>
        </w:rPr>
        <w:tab/>
      </w:r>
      <w:r w:rsidRPr="00095E34">
        <w:rPr>
          <w:rFonts w:ascii="Verdana" w:hAnsi="Verdana"/>
        </w:rPr>
        <w:t>Supporting children’s development does not mean blindly following professional guidance; rather, it is a process in which parents become active “observers and facilitators” of their children’s growth. Applying empowerment theory in daily life does not require parents to completely change their lifestyles or take on additional burdens. Instead, incorporating small but intentional and positive actions into everyday routines and interactions can greatly enhance the effectiveness of child-rearing practices. The process of empowerment is founded on consistent parental support that respects each child’s individual pace of growth, development, and interests.</w:t>
      </w:r>
    </w:p>
    <w:p w14:paraId="5D8EFB32" w14:textId="09F68059" w:rsidR="00095E34" w:rsidRDefault="00095E34" w:rsidP="00095E34">
      <w:pPr>
        <w:pStyle w:val="NoSpacing"/>
        <w:jc w:val="both"/>
        <w:rPr>
          <w:rFonts w:ascii="Verdana" w:hAnsi="Verdana"/>
        </w:rPr>
      </w:pPr>
      <w:r>
        <w:rPr>
          <w:rFonts w:ascii="Verdana" w:hAnsi="Verdana"/>
        </w:rPr>
        <w:tab/>
      </w:r>
      <w:r w:rsidRPr="00095E34">
        <w:rPr>
          <w:rFonts w:ascii="Verdana" w:hAnsi="Verdana"/>
        </w:rPr>
        <w:t>Improving the child-rearing environment is not merely a matter within individual families; it is a strategic factor that shapes the future human development capacity of a nation. Children’s development is formed through the interaction between a warm and supportive family environment and broader social support systems. Therefore, strengthening collaboration among parents, caregivers, and professional organizations is an essential requirement for sustainable development.</w:t>
      </w:r>
    </w:p>
    <w:p w14:paraId="5E68E2FF" w14:textId="45B8EF96" w:rsidR="00095E34" w:rsidRPr="00095E34" w:rsidRDefault="00095E34" w:rsidP="00095E34">
      <w:pPr>
        <w:pStyle w:val="NoSpacing"/>
        <w:jc w:val="both"/>
        <w:rPr>
          <w:rFonts w:ascii="Verdana" w:hAnsi="Verdana"/>
        </w:rPr>
      </w:pPr>
      <w:r>
        <w:rPr>
          <w:rFonts w:ascii="Verdana" w:hAnsi="Verdana"/>
        </w:rPr>
        <w:lastRenderedPageBreak/>
        <w:tab/>
      </w:r>
      <w:r w:rsidRPr="00095E34">
        <w:rPr>
          <w:rFonts w:ascii="Verdana" w:hAnsi="Verdana"/>
        </w:rPr>
        <w:t>As parents’ confidence in their own parenting abilities increases, their relationships with children improve significantly, creating a foundation for nurturing individuals who can express themselves in society, overcome challenges, and seek support when needed.</w:t>
      </w:r>
    </w:p>
    <w:p w14:paraId="78D9496B" w14:textId="62CC2083" w:rsidR="00095E34" w:rsidRPr="00095E34" w:rsidRDefault="00095E34" w:rsidP="00095E34">
      <w:pPr>
        <w:pStyle w:val="NoSpacing"/>
        <w:jc w:val="both"/>
        <w:rPr>
          <w:rFonts w:ascii="Verdana" w:hAnsi="Verdana"/>
        </w:rPr>
      </w:pPr>
      <w:r>
        <w:rPr>
          <w:rFonts w:ascii="Verdana" w:hAnsi="Verdana"/>
        </w:rPr>
        <w:tab/>
      </w:r>
      <w:r w:rsidRPr="00095E34">
        <w:rPr>
          <w:rFonts w:ascii="Verdana" w:hAnsi="Verdana"/>
        </w:rPr>
        <w:t>In conclusion, the child-rearing environment assessment indicators introduced in this study are highly relevant to the unique social and cultural context in which Mongolian children grow and develop. This approach can serve as a practical and scientifically grounded framework for supporting and measuring children’s development in Mongolia.</w:t>
      </w:r>
    </w:p>
    <w:p w14:paraId="111684AB" w14:textId="6F8C8B8F" w:rsidR="00095E34" w:rsidRDefault="00095E34" w:rsidP="00095E34">
      <w:pPr>
        <w:pStyle w:val="NoSpacing"/>
        <w:jc w:val="both"/>
        <w:rPr>
          <w:rFonts w:ascii="Verdana" w:hAnsi="Verdana"/>
        </w:rPr>
      </w:pPr>
      <w:r>
        <w:rPr>
          <w:rFonts w:ascii="Verdana" w:hAnsi="Verdana"/>
        </w:rPr>
        <w:tab/>
      </w:r>
      <w:r w:rsidRPr="00095E34">
        <w:rPr>
          <w:rFonts w:ascii="Verdana" w:hAnsi="Verdana"/>
        </w:rPr>
        <w:t>Improving children’s developmental environments through evidence-based approaches is not only a family matter but also a strategic investment in the nation’s future human development capacity. The methodologies and assessment indicators based on empowerment theory can make a valuable contribution to advancing “human development,” one of the key pillars of Mongolia’s sustainable development policies.</w:t>
      </w:r>
    </w:p>
    <w:p w14:paraId="7DD2E5CE" w14:textId="77777777" w:rsidR="00095E34" w:rsidRDefault="00095E34" w:rsidP="00095E34">
      <w:pPr>
        <w:pStyle w:val="NoSpacing"/>
        <w:jc w:val="both"/>
        <w:rPr>
          <w:rFonts w:ascii="Verdana" w:hAnsi="Verdana"/>
        </w:rPr>
      </w:pPr>
    </w:p>
    <w:p w14:paraId="160ED2C0" w14:textId="3EC41873" w:rsidR="00ED2F9A" w:rsidRPr="0020212B" w:rsidRDefault="00A12D2C" w:rsidP="0020212B">
      <w:pPr>
        <w:jc w:val="both"/>
        <w:rPr>
          <w:rFonts w:ascii="Verdana" w:hAnsi="Verdana"/>
        </w:rPr>
      </w:pPr>
      <w:r w:rsidRPr="00095E34">
        <w:rPr>
          <w:rFonts w:ascii="Verdana" w:hAnsi="Verdana"/>
          <w:b/>
          <w:bCs/>
        </w:rPr>
        <w:t>REFERENCES</w:t>
      </w:r>
      <w:r w:rsidRPr="00095E34">
        <w:rPr>
          <w:rFonts w:ascii="Verdana" w:hAnsi="Verdana"/>
          <w:b/>
          <w:bCs/>
        </w:rPr>
        <w:t xml:space="preserve"> </w:t>
      </w:r>
      <w:r w:rsidRPr="0020212B">
        <w:rPr>
          <w:rFonts w:ascii="Verdana" w:hAnsi="Verdana"/>
        </w:rPr>
        <w:t>(Additional References for Chapter IV)</w:t>
      </w:r>
    </w:p>
    <w:p w14:paraId="4F7B3FCC" w14:textId="1EB47F2E" w:rsidR="00A12D2C" w:rsidRPr="0020212B" w:rsidRDefault="00A12D2C" w:rsidP="0020212B">
      <w:pPr>
        <w:pStyle w:val="ListParagraph"/>
        <w:numPr>
          <w:ilvl w:val="0"/>
          <w:numId w:val="1"/>
        </w:numPr>
        <w:ind w:left="426"/>
        <w:jc w:val="both"/>
        <w:rPr>
          <w:rFonts w:ascii="Verdana" w:hAnsi="Verdana"/>
        </w:rPr>
      </w:pPr>
      <w:proofErr w:type="spellStart"/>
      <w:r w:rsidRPr="0020212B">
        <w:rPr>
          <w:rFonts w:ascii="Verdana" w:hAnsi="Verdana"/>
        </w:rPr>
        <w:t>Ahnert</w:t>
      </w:r>
      <w:proofErr w:type="spellEnd"/>
      <w:r w:rsidRPr="0020212B">
        <w:rPr>
          <w:rFonts w:ascii="Verdana" w:hAnsi="Verdana"/>
        </w:rPr>
        <w:t xml:space="preserve">, L., Lamb, M. E., &amp; </w:t>
      </w:r>
      <w:proofErr w:type="spellStart"/>
      <w:r w:rsidRPr="0020212B">
        <w:rPr>
          <w:rFonts w:ascii="Verdana" w:hAnsi="Verdana"/>
        </w:rPr>
        <w:t>Seltenheim</w:t>
      </w:r>
      <w:proofErr w:type="spellEnd"/>
      <w:r w:rsidRPr="0020212B">
        <w:rPr>
          <w:rFonts w:ascii="Verdana" w:hAnsi="Verdana"/>
        </w:rPr>
        <w:t>, S., Child care and non-maternal care: The</w:t>
      </w:r>
      <w:r w:rsidRPr="0020212B">
        <w:rPr>
          <w:rFonts w:ascii="Verdana" w:hAnsi="Verdana"/>
        </w:rPr>
        <w:t xml:space="preserve"> </w:t>
      </w:r>
      <w:r w:rsidRPr="0020212B">
        <w:rPr>
          <w:rFonts w:ascii="Verdana" w:hAnsi="Verdana"/>
        </w:rPr>
        <w:t>role of family environment, Journal of Child Psychology and Psychiatry, 47(11),</w:t>
      </w:r>
      <w:r w:rsidRPr="0020212B">
        <w:rPr>
          <w:rFonts w:ascii="Verdana" w:hAnsi="Verdana"/>
        </w:rPr>
        <w:t xml:space="preserve"> </w:t>
      </w:r>
      <w:r w:rsidRPr="0020212B">
        <w:rPr>
          <w:rFonts w:ascii="Verdana" w:hAnsi="Verdana"/>
        </w:rPr>
        <w:t>1145–1152, 2006.</w:t>
      </w:r>
    </w:p>
    <w:p w14:paraId="526E2E75" w14:textId="33A0F5D1" w:rsidR="00A12D2C" w:rsidRPr="0020212B" w:rsidRDefault="00A12D2C" w:rsidP="0020212B">
      <w:pPr>
        <w:pStyle w:val="ListParagraph"/>
        <w:numPr>
          <w:ilvl w:val="0"/>
          <w:numId w:val="1"/>
        </w:numPr>
        <w:ind w:left="426"/>
        <w:jc w:val="both"/>
        <w:rPr>
          <w:rFonts w:ascii="Verdana" w:hAnsi="Verdana"/>
        </w:rPr>
      </w:pPr>
      <w:proofErr w:type="spellStart"/>
      <w:r w:rsidRPr="0020212B">
        <w:rPr>
          <w:rFonts w:ascii="Verdana" w:hAnsi="Verdana"/>
        </w:rPr>
        <w:t>Anme</w:t>
      </w:r>
      <w:proofErr w:type="spellEnd"/>
      <w:r w:rsidRPr="0020212B">
        <w:rPr>
          <w:rFonts w:ascii="Verdana" w:hAnsi="Verdana"/>
        </w:rPr>
        <w:t xml:space="preserve">, T., et al., Effectiveness of Japan’s extended/night childcare: A five-year follow up, Procedia Social and </w:t>
      </w:r>
      <w:proofErr w:type="spellStart"/>
      <w:r w:rsidRPr="0020212B">
        <w:rPr>
          <w:rFonts w:ascii="Verdana" w:hAnsi="Verdana"/>
        </w:rPr>
        <w:t>Behavioural</w:t>
      </w:r>
      <w:proofErr w:type="spellEnd"/>
      <w:r w:rsidRPr="0020212B">
        <w:rPr>
          <w:rFonts w:ascii="Verdana" w:hAnsi="Verdana"/>
        </w:rPr>
        <w:t xml:space="preserve"> Sciences, 2, 5573–5580, 2010.</w:t>
      </w:r>
    </w:p>
    <w:p w14:paraId="67F91BB6" w14:textId="6D0B3F83" w:rsidR="00A12D2C" w:rsidRPr="0020212B" w:rsidRDefault="00A12D2C" w:rsidP="0020212B">
      <w:pPr>
        <w:pStyle w:val="ListParagraph"/>
        <w:numPr>
          <w:ilvl w:val="0"/>
          <w:numId w:val="1"/>
        </w:numPr>
        <w:ind w:left="426"/>
        <w:jc w:val="both"/>
        <w:rPr>
          <w:rFonts w:ascii="Verdana" w:hAnsi="Verdana"/>
        </w:rPr>
      </w:pPr>
      <w:r w:rsidRPr="0020212B">
        <w:rPr>
          <w:rFonts w:ascii="Verdana" w:hAnsi="Verdana"/>
        </w:rPr>
        <w:t>Bandura, A., Self-efficacy: The exercise of control, W. H. Freeman, New York, 1997.</w:t>
      </w:r>
    </w:p>
    <w:p w14:paraId="236A3F0D" w14:textId="5BFE881D" w:rsidR="00A12D2C" w:rsidRPr="0020212B" w:rsidRDefault="00A12D2C" w:rsidP="0020212B">
      <w:pPr>
        <w:pStyle w:val="ListParagraph"/>
        <w:numPr>
          <w:ilvl w:val="0"/>
          <w:numId w:val="1"/>
        </w:numPr>
        <w:ind w:left="426"/>
        <w:jc w:val="both"/>
        <w:rPr>
          <w:rFonts w:ascii="Verdana" w:hAnsi="Verdana"/>
        </w:rPr>
      </w:pPr>
      <w:r w:rsidRPr="0020212B">
        <w:rPr>
          <w:rFonts w:ascii="Verdana" w:hAnsi="Verdana"/>
        </w:rPr>
        <w:t xml:space="preserve">Bradley, R. H., &amp; </w:t>
      </w:r>
      <w:proofErr w:type="spellStart"/>
      <w:r w:rsidRPr="0020212B">
        <w:rPr>
          <w:rFonts w:ascii="Verdana" w:hAnsi="Verdana"/>
        </w:rPr>
        <w:t>Corwyn</w:t>
      </w:r>
      <w:proofErr w:type="spellEnd"/>
      <w:r w:rsidRPr="0020212B">
        <w:rPr>
          <w:rFonts w:ascii="Verdana" w:hAnsi="Verdana"/>
        </w:rPr>
        <w:t>, R. F., Socioeconomic status and child development, Annual Review of Psychology, 53(1), 371–399, 2002.</w:t>
      </w:r>
    </w:p>
    <w:p w14:paraId="5CC27225" w14:textId="3FAA6E5B" w:rsidR="00A12D2C" w:rsidRPr="0020212B" w:rsidRDefault="00A12D2C" w:rsidP="0020212B">
      <w:pPr>
        <w:pStyle w:val="ListParagraph"/>
        <w:numPr>
          <w:ilvl w:val="0"/>
          <w:numId w:val="1"/>
        </w:numPr>
        <w:ind w:left="426"/>
        <w:jc w:val="both"/>
        <w:rPr>
          <w:rFonts w:ascii="Verdana" w:hAnsi="Verdana"/>
        </w:rPr>
      </w:pPr>
      <w:r w:rsidRPr="0020212B">
        <w:rPr>
          <w:rFonts w:ascii="Verdana" w:hAnsi="Verdana"/>
        </w:rPr>
        <w:t>Bronfenbrenner, U., The Ecology of Human Development: Experiments by Nature</w:t>
      </w:r>
      <w:r w:rsidRPr="0020212B">
        <w:rPr>
          <w:rFonts w:ascii="Verdana" w:hAnsi="Verdana"/>
        </w:rPr>
        <w:t xml:space="preserve"> </w:t>
      </w:r>
      <w:r w:rsidRPr="0020212B">
        <w:rPr>
          <w:rFonts w:ascii="Verdana" w:hAnsi="Verdana"/>
        </w:rPr>
        <w:t>and Design, Harvard University Press, 1979.</w:t>
      </w:r>
    </w:p>
    <w:p w14:paraId="1F4BAFCB" w14:textId="6C1696CA" w:rsidR="00A12D2C" w:rsidRPr="0020212B" w:rsidRDefault="00A12D2C" w:rsidP="0020212B">
      <w:pPr>
        <w:pStyle w:val="ListParagraph"/>
        <w:numPr>
          <w:ilvl w:val="0"/>
          <w:numId w:val="1"/>
        </w:numPr>
        <w:ind w:left="426"/>
        <w:jc w:val="both"/>
        <w:rPr>
          <w:rFonts w:ascii="Verdana" w:hAnsi="Verdana"/>
        </w:rPr>
      </w:pPr>
      <w:proofErr w:type="spellStart"/>
      <w:r w:rsidRPr="0020212B">
        <w:rPr>
          <w:rFonts w:ascii="Verdana" w:hAnsi="Verdana"/>
        </w:rPr>
        <w:t>Г.Амарсанаа</w:t>
      </w:r>
      <w:proofErr w:type="spellEnd"/>
      <w:r w:rsidRPr="0020212B">
        <w:rPr>
          <w:rFonts w:ascii="Verdana" w:hAnsi="Verdana"/>
        </w:rPr>
        <w:t xml:space="preserve">, </w:t>
      </w:r>
      <w:proofErr w:type="spellStart"/>
      <w:r w:rsidRPr="0020212B">
        <w:rPr>
          <w:rFonts w:ascii="Verdana" w:hAnsi="Verdana"/>
        </w:rPr>
        <w:t>Токи</w:t>
      </w:r>
      <w:proofErr w:type="spellEnd"/>
      <w:r w:rsidRPr="0020212B">
        <w:rPr>
          <w:rFonts w:ascii="Verdana" w:hAnsi="Verdana"/>
        </w:rPr>
        <w:t xml:space="preserve"> </w:t>
      </w:r>
      <w:proofErr w:type="spellStart"/>
      <w:r w:rsidRPr="0020212B">
        <w:rPr>
          <w:rFonts w:ascii="Verdana" w:hAnsi="Verdana"/>
        </w:rPr>
        <w:t>Анмэ</w:t>
      </w:r>
      <w:proofErr w:type="spellEnd"/>
      <w:r w:rsidRPr="0020212B">
        <w:rPr>
          <w:rFonts w:ascii="Verdana" w:hAnsi="Verdana"/>
        </w:rPr>
        <w:t xml:space="preserve">., </w:t>
      </w:r>
      <w:proofErr w:type="spellStart"/>
      <w:r w:rsidRPr="0020212B">
        <w:rPr>
          <w:rFonts w:ascii="Verdana" w:hAnsi="Verdana"/>
        </w:rPr>
        <w:t>Хүүхэд</w:t>
      </w:r>
      <w:proofErr w:type="spellEnd"/>
      <w:r w:rsidRPr="0020212B">
        <w:rPr>
          <w:rFonts w:ascii="Verdana" w:hAnsi="Verdana"/>
        </w:rPr>
        <w:t xml:space="preserve"> </w:t>
      </w:r>
      <w:proofErr w:type="spellStart"/>
      <w:r w:rsidRPr="0020212B">
        <w:rPr>
          <w:rFonts w:ascii="Verdana" w:hAnsi="Verdana"/>
        </w:rPr>
        <w:t>өсгөн</w:t>
      </w:r>
      <w:proofErr w:type="spellEnd"/>
      <w:r w:rsidRPr="0020212B">
        <w:rPr>
          <w:rFonts w:ascii="Verdana" w:hAnsi="Verdana"/>
        </w:rPr>
        <w:t xml:space="preserve"> </w:t>
      </w:r>
      <w:proofErr w:type="spellStart"/>
      <w:r w:rsidRPr="0020212B">
        <w:rPr>
          <w:rFonts w:ascii="Verdana" w:hAnsi="Verdana"/>
        </w:rPr>
        <w:t>хүмүүжүүлэх</w:t>
      </w:r>
      <w:proofErr w:type="spellEnd"/>
      <w:r w:rsidRPr="0020212B">
        <w:rPr>
          <w:rFonts w:ascii="Verdana" w:hAnsi="Verdana"/>
        </w:rPr>
        <w:t xml:space="preserve"> </w:t>
      </w:r>
      <w:proofErr w:type="spellStart"/>
      <w:r w:rsidRPr="0020212B">
        <w:rPr>
          <w:rFonts w:ascii="Verdana" w:hAnsi="Verdana"/>
        </w:rPr>
        <w:t>орчны</w:t>
      </w:r>
      <w:proofErr w:type="spellEnd"/>
      <w:r w:rsidRPr="0020212B">
        <w:rPr>
          <w:rFonts w:ascii="Verdana" w:hAnsi="Verdana"/>
        </w:rPr>
        <w:t xml:space="preserve"> </w:t>
      </w:r>
      <w:proofErr w:type="spellStart"/>
      <w:r w:rsidRPr="0020212B">
        <w:rPr>
          <w:rFonts w:ascii="Verdana" w:hAnsi="Verdana"/>
        </w:rPr>
        <w:t>индексийг</w:t>
      </w:r>
      <w:proofErr w:type="spellEnd"/>
      <w:r w:rsidRPr="0020212B">
        <w:rPr>
          <w:rFonts w:ascii="Verdana" w:hAnsi="Verdana"/>
        </w:rPr>
        <w:t xml:space="preserve"> </w:t>
      </w:r>
      <w:proofErr w:type="spellStart"/>
      <w:r w:rsidRPr="0020212B">
        <w:rPr>
          <w:rFonts w:ascii="Verdana" w:hAnsi="Verdana"/>
        </w:rPr>
        <w:t>ашиглах</w:t>
      </w:r>
      <w:proofErr w:type="spellEnd"/>
      <w:r w:rsidRPr="0020212B">
        <w:rPr>
          <w:rFonts w:ascii="Verdana" w:hAnsi="Verdana"/>
        </w:rPr>
        <w:t xml:space="preserve"> </w:t>
      </w:r>
      <w:proofErr w:type="spellStart"/>
      <w:r w:rsidRPr="0020212B">
        <w:rPr>
          <w:rFonts w:ascii="Verdana" w:hAnsi="Verdana"/>
        </w:rPr>
        <w:t>боломж</w:t>
      </w:r>
      <w:proofErr w:type="spellEnd"/>
      <w:r w:rsidRPr="0020212B">
        <w:rPr>
          <w:rFonts w:ascii="Verdana" w:hAnsi="Verdana"/>
        </w:rPr>
        <w:t xml:space="preserve"> </w:t>
      </w:r>
      <w:proofErr w:type="spellStart"/>
      <w:r w:rsidRPr="0020212B">
        <w:rPr>
          <w:rFonts w:ascii="Verdana" w:hAnsi="Verdana"/>
        </w:rPr>
        <w:t>ба</w:t>
      </w:r>
      <w:proofErr w:type="spellEnd"/>
      <w:r w:rsidRPr="0020212B">
        <w:rPr>
          <w:rFonts w:ascii="Verdana" w:hAnsi="Verdana"/>
        </w:rPr>
        <w:t xml:space="preserve"> </w:t>
      </w:r>
      <w:proofErr w:type="spellStart"/>
      <w:r w:rsidRPr="0020212B">
        <w:rPr>
          <w:rFonts w:ascii="Verdana" w:hAnsi="Verdana"/>
        </w:rPr>
        <w:t>хүчин</w:t>
      </w:r>
      <w:proofErr w:type="spellEnd"/>
      <w:r w:rsidRPr="0020212B">
        <w:rPr>
          <w:rFonts w:ascii="Verdana" w:hAnsi="Verdana"/>
        </w:rPr>
        <w:t xml:space="preserve"> </w:t>
      </w:r>
      <w:proofErr w:type="spellStart"/>
      <w:r w:rsidRPr="0020212B">
        <w:rPr>
          <w:rFonts w:ascii="Verdana" w:hAnsi="Verdana"/>
        </w:rPr>
        <w:t>төгөлдөр</w:t>
      </w:r>
      <w:proofErr w:type="spellEnd"/>
      <w:r w:rsidRPr="0020212B">
        <w:rPr>
          <w:rFonts w:ascii="Verdana" w:hAnsi="Verdana"/>
        </w:rPr>
        <w:t xml:space="preserve"> </w:t>
      </w:r>
      <w:proofErr w:type="spellStart"/>
      <w:r w:rsidRPr="0020212B">
        <w:rPr>
          <w:rFonts w:ascii="Verdana" w:hAnsi="Verdana"/>
        </w:rPr>
        <w:t>байдал</w:t>
      </w:r>
      <w:proofErr w:type="spellEnd"/>
      <w:r w:rsidRPr="0020212B">
        <w:rPr>
          <w:rFonts w:ascii="Verdana" w:hAnsi="Verdana"/>
        </w:rPr>
        <w:t xml:space="preserve">, </w:t>
      </w:r>
      <w:proofErr w:type="spellStart"/>
      <w:r w:rsidRPr="0020212B">
        <w:rPr>
          <w:rFonts w:ascii="Verdana" w:hAnsi="Verdana"/>
        </w:rPr>
        <w:t>Судалгааны</w:t>
      </w:r>
      <w:proofErr w:type="spellEnd"/>
      <w:r w:rsidRPr="0020212B">
        <w:rPr>
          <w:rFonts w:ascii="Verdana" w:hAnsi="Verdana"/>
        </w:rPr>
        <w:t xml:space="preserve"> </w:t>
      </w:r>
      <w:proofErr w:type="spellStart"/>
      <w:r w:rsidRPr="0020212B">
        <w:rPr>
          <w:rFonts w:ascii="Verdana" w:hAnsi="Verdana"/>
        </w:rPr>
        <w:t>тайлан</w:t>
      </w:r>
      <w:proofErr w:type="spellEnd"/>
      <w:r w:rsidRPr="0020212B">
        <w:rPr>
          <w:rFonts w:ascii="Verdana" w:hAnsi="Verdana"/>
        </w:rPr>
        <w:t xml:space="preserve">, </w:t>
      </w:r>
      <w:proofErr w:type="spellStart"/>
      <w:r w:rsidRPr="0020212B">
        <w:rPr>
          <w:rFonts w:ascii="Verdana" w:hAnsi="Verdana"/>
        </w:rPr>
        <w:t>Улаанбаатар</w:t>
      </w:r>
      <w:proofErr w:type="spellEnd"/>
      <w:r w:rsidRPr="0020212B">
        <w:rPr>
          <w:rFonts w:ascii="Verdana" w:hAnsi="Verdana"/>
        </w:rPr>
        <w:t>, 2020.</w:t>
      </w:r>
    </w:p>
    <w:p w14:paraId="6529B8AB" w14:textId="52160F6D" w:rsidR="00A12D2C" w:rsidRPr="0020212B" w:rsidRDefault="00A12D2C" w:rsidP="0020212B">
      <w:pPr>
        <w:pStyle w:val="ListParagraph"/>
        <w:numPr>
          <w:ilvl w:val="0"/>
          <w:numId w:val="1"/>
        </w:numPr>
        <w:ind w:left="426"/>
        <w:jc w:val="both"/>
        <w:rPr>
          <w:rFonts w:ascii="Verdana" w:hAnsi="Verdana"/>
        </w:rPr>
      </w:pPr>
      <w:r w:rsidRPr="0020212B">
        <w:rPr>
          <w:rFonts w:ascii="Verdana" w:hAnsi="Verdana"/>
        </w:rPr>
        <w:t>Wallerstein, N. B., What is the evidence on effectiveness of empowerment to improve health? World Health Organization (WHO), Copenhagen, 2006.</w:t>
      </w:r>
    </w:p>
    <w:p w14:paraId="03EAC5D4" w14:textId="1D90C794" w:rsidR="00A12D2C" w:rsidRPr="0020212B" w:rsidRDefault="00A12D2C" w:rsidP="0020212B">
      <w:pPr>
        <w:pStyle w:val="ListParagraph"/>
        <w:numPr>
          <w:ilvl w:val="0"/>
          <w:numId w:val="1"/>
        </w:numPr>
        <w:ind w:left="426"/>
        <w:jc w:val="both"/>
        <w:rPr>
          <w:rFonts w:ascii="Verdana" w:hAnsi="Verdana"/>
        </w:rPr>
      </w:pPr>
      <w:r w:rsidRPr="0020212B">
        <w:rPr>
          <w:rFonts w:ascii="Verdana" w:hAnsi="Verdana"/>
        </w:rPr>
        <w:t>Zimmerman, M. A., Empowerment theory: Psychological, organizational and</w:t>
      </w:r>
      <w:r w:rsidRPr="0020212B">
        <w:rPr>
          <w:rFonts w:ascii="Verdana" w:hAnsi="Verdana"/>
        </w:rPr>
        <w:t xml:space="preserve"> </w:t>
      </w:r>
      <w:r w:rsidRPr="0020212B">
        <w:rPr>
          <w:rFonts w:ascii="Verdana" w:hAnsi="Verdana"/>
        </w:rPr>
        <w:t>community levels of analysis, Handbook of Community Psychology, 43–63, 2000</w:t>
      </w:r>
    </w:p>
    <w:sectPr w:rsidR="00A12D2C" w:rsidRPr="0020212B" w:rsidSect="00095E34">
      <w:pgSz w:w="12240" w:h="15840"/>
      <w:pgMar w:top="851" w:right="1041"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F794A"/>
    <w:multiLevelType w:val="hybridMultilevel"/>
    <w:tmpl w:val="EDFA3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D155F"/>
    <w:multiLevelType w:val="hybridMultilevel"/>
    <w:tmpl w:val="02BE9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FF5EDD"/>
    <w:multiLevelType w:val="multilevel"/>
    <w:tmpl w:val="1710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0D5E40"/>
    <w:multiLevelType w:val="hybridMultilevel"/>
    <w:tmpl w:val="F20C6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8F5D8C"/>
    <w:multiLevelType w:val="hybridMultilevel"/>
    <w:tmpl w:val="33B2B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F9A"/>
    <w:rsid w:val="0006773B"/>
    <w:rsid w:val="00095E34"/>
    <w:rsid w:val="0020212B"/>
    <w:rsid w:val="009D52E2"/>
    <w:rsid w:val="009F3259"/>
    <w:rsid w:val="00A12D2C"/>
    <w:rsid w:val="00AA56DB"/>
    <w:rsid w:val="00B64AAC"/>
    <w:rsid w:val="00BA4D06"/>
    <w:rsid w:val="00C403D1"/>
    <w:rsid w:val="00CD2232"/>
    <w:rsid w:val="00E57387"/>
    <w:rsid w:val="00ED2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332A8"/>
  <w15:chartTrackingRefBased/>
  <w15:docId w15:val="{E19BE71F-E173-4F1C-861D-72A20C69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D2C"/>
    <w:pPr>
      <w:ind w:left="720"/>
      <w:contextualSpacing/>
    </w:pPr>
  </w:style>
  <w:style w:type="paragraph" w:customStyle="1" w:styleId="pdq2pgselectionanchorcontainer">
    <w:name w:val="pdq2pg_selectionanchorcontainer"/>
    <w:basedOn w:val="Normal"/>
    <w:rsid w:val="00CD223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CD223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403D1"/>
    <w:rPr>
      <w:b/>
      <w:bCs/>
    </w:rPr>
  </w:style>
  <w:style w:type="paragraph" w:styleId="NoSpacing">
    <w:name w:val="No Spacing"/>
    <w:uiPriority w:val="1"/>
    <w:qFormat/>
    <w:rsid w:val="009F32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33937">
      <w:bodyDiv w:val="1"/>
      <w:marLeft w:val="0"/>
      <w:marRight w:val="0"/>
      <w:marTop w:val="0"/>
      <w:marBottom w:val="0"/>
      <w:divBdr>
        <w:top w:val="none" w:sz="0" w:space="0" w:color="auto"/>
        <w:left w:val="none" w:sz="0" w:space="0" w:color="auto"/>
        <w:bottom w:val="none" w:sz="0" w:space="0" w:color="auto"/>
        <w:right w:val="none" w:sz="0" w:space="0" w:color="auto"/>
      </w:divBdr>
    </w:div>
    <w:div w:id="318002115">
      <w:bodyDiv w:val="1"/>
      <w:marLeft w:val="0"/>
      <w:marRight w:val="0"/>
      <w:marTop w:val="0"/>
      <w:marBottom w:val="0"/>
      <w:divBdr>
        <w:top w:val="none" w:sz="0" w:space="0" w:color="auto"/>
        <w:left w:val="none" w:sz="0" w:space="0" w:color="auto"/>
        <w:bottom w:val="none" w:sz="0" w:space="0" w:color="auto"/>
        <w:right w:val="none" w:sz="0" w:space="0" w:color="auto"/>
      </w:divBdr>
    </w:div>
    <w:div w:id="345986297">
      <w:bodyDiv w:val="1"/>
      <w:marLeft w:val="0"/>
      <w:marRight w:val="0"/>
      <w:marTop w:val="0"/>
      <w:marBottom w:val="0"/>
      <w:divBdr>
        <w:top w:val="none" w:sz="0" w:space="0" w:color="auto"/>
        <w:left w:val="none" w:sz="0" w:space="0" w:color="auto"/>
        <w:bottom w:val="none" w:sz="0" w:space="0" w:color="auto"/>
        <w:right w:val="none" w:sz="0" w:space="0" w:color="auto"/>
      </w:divBdr>
    </w:div>
    <w:div w:id="396829870">
      <w:bodyDiv w:val="1"/>
      <w:marLeft w:val="0"/>
      <w:marRight w:val="0"/>
      <w:marTop w:val="0"/>
      <w:marBottom w:val="0"/>
      <w:divBdr>
        <w:top w:val="none" w:sz="0" w:space="0" w:color="auto"/>
        <w:left w:val="none" w:sz="0" w:space="0" w:color="auto"/>
        <w:bottom w:val="none" w:sz="0" w:space="0" w:color="auto"/>
        <w:right w:val="none" w:sz="0" w:space="0" w:color="auto"/>
      </w:divBdr>
    </w:div>
    <w:div w:id="1436944618">
      <w:bodyDiv w:val="1"/>
      <w:marLeft w:val="0"/>
      <w:marRight w:val="0"/>
      <w:marTop w:val="0"/>
      <w:marBottom w:val="0"/>
      <w:divBdr>
        <w:top w:val="none" w:sz="0" w:space="0" w:color="auto"/>
        <w:left w:val="none" w:sz="0" w:space="0" w:color="auto"/>
        <w:bottom w:val="none" w:sz="0" w:space="0" w:color="auto"/>
        <w:right w:val="none" w:sz="0" w:space="0" w:color="auto"/>
      </w:divBdr>
    </w:div>
    <w:div w:id="1495682344">
      <w:bodyDiv w:val="1"/>
      <w:marLeft w:val="0"/>
      <w:marRight w:val="0"/>
      <w:marTop w:val="0"/>
      <w:marBottom w:val="0"/>
      <w:divBdr>
        <w:top w:val="none" w:sz="0" w:space="0" w:color="auto"/>
        <w:left w:val="none" w:sz="0" w:space="0" w:color="auto"/>
        <w:bottom w:val="none" w:sz="0" w:space="0" w:color="auto"/>
        <w:right w:val="none" w:sz="0" w:space="0" w:color="auto"/>
      </w:divBdr>
    </w:div>
    <w:div w:id="2007592011">
      <w:bodyDiv w:val="1"/>
      <w:marLeft w:val="0"/>
      <w:marRight w:val="0"/>
      <w:marTop w:val="0"/>
      <w:marBottom w:val="0"/>
      <w:divBdr>
        <w:top w:val="none" w:sz="0" w:space="0" w:color="auto"/>
        <w:left w:val="none" w:sz="0" w:space="0" w:color="auto"/>
        <w:bottom w:val="none" w:sz="0" w:space="0" w:color="auto"/>
        <w:right w:val="none" w:sz="0" w:space="0" w:color="auto"/>
      </w:divBdr>
    </w:div>
    <w:div w:id="208491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5</Pages>
  <Words>2595</Words>
  <Characters>14794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Amarsanaa Gan-Yadam</dc:creator>
  <cp:keywords/>
  <dc:description/>
  <cp:lastModifiedBy>Amarsanaa Gan-Yadam</cp:lastModifiedBy>
  <cp:revision>1</cp:revision>
  <dcterms:created xsi:type="dcterms:W3CDTF">2026-07-21T06:16:00Z</dcterms:created>
  <dcterms:modified xsi:type="dcterms:W3CDTF">2026-07-21T08:41:00Z</dcterms:modified>
</cp:coreProperties>
</file>