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F45" w:rsidRDefault="002F07BF" w:rsidP="00214F45">
      <w:r w:rsidRPr="00F83A07">
        <w:rPr>
          <w:rFonts w:cs="AdvTTaf7f9f4f.B"/>
          <w:kern w:val="0"/>
        </w:rPr>
        <w:t xml:space="preserve">MORECare </w:t>
      </w:r>
      <w:r>
        <w:rPr>
          <w:rFonts w:cs="AdvTTaf7f9f4f.B" w:hint="eastAsia"/>
          <w:kern w:val="0"/>
        </w:rPr>
        <w:t>声明：</w:t>
      </w:r>
      <w:r w:rsidR="00214F45">
        <w:rPr>
          <w:rFonts w:hint="eastAsia"/>
        </w:rPr>
        <w:t>終末期ケアの介入研究を計画・実施する際に考慮すべきことのチェックリスト</w:t>
      </w:r>
      <w:r w:rsidR="00214F45">
        <w:rPr>
          <w:rFonts w:hint="eastAsia"/>
        </w:rPr>
        <w:t xml:space="preserve">　宮下光令訳</w:t>
      </w:r>
    </w:p>
    <w:p w:rsidR="00214F45" w:rsidRDefault="00214F45" w:rsidP="002F07BF">
      <w:pPr>
        <w:autoSpaceDE w:val="0"/>
        <w:autoSpaceDN w:val="0"/>
        <w:adjustRightInd w:val="0"/>
        <w:jc w:val="left"/>
        <w:rPr>
          <w:rFonts w:cs="AdvTTaf7f9f4f.B"/>
          <w:kern w:val="0"/>
        </w:rPr>
      </w:pPr>
    </w:p>
    <w:p w:rsidR="00214F45" w:rsidRDefault="00214F45" w:rsidP="00214F45">
      <w:pPr>
        <w:autoSpaceDE w:val="0"/>
        <w:autoSpaceDN w:val="0"/>
        <w:adjustRightInd w:val="0"/>
        <w:jc w:val="left"/>
        <w:rPr>
          <w:rFonts w:cs="AdvTTb5929f4c"/>
          <w:kern w:val="0"/>
        </w:rPr>
      </w:pPr>
      <w:r>
        <w:rPr>
          <w:rFonts w:cs="AdvTTb5929f4c" w:hint="eastAsia"/>
          <w:kern w:val="0"/>
        </w:rPr>
        <w:t>※一般的な研究方法のガイドライン（</w:t>
      </w:r>
      <w:r>
        <w:rPr>
          <w:rFonts w:cs="AdvTTb5929f4c" w:hint="eastAsia"/>
          <w:kern w:val="0"/>
        </w:rPr>
        <w:t>CONSORT</w:t>
      </w:r>
      <w:r>
        <w:rPr>
          <w:rFonts w:cs="AdvTTb5929f4c" w:hint="eastAsia"/>
          <w:kern w:val="0"/>
        </w:rPr>
        <w:t>声明や</w:t>
      </w:r>
      <w:r>
        <w:rPr>
          <w:rFonts w:cs="AdvTTb5929f4c" w:hint="eastAsia"/>
          <w:kern w:val="0"/>
        </w:rPr>
        <w:t>STROBE</w:t>
      </w:r>
      <w:r>
        <w:rPr>
          <w:rFonts w:cs="AdvTTb5929f4c" w:hint="eastAsia"/>
          <w:kern w:val="0"/>
        </w:rPr>
        <w:t>声明など）と併用して参照されるべきものである。</w:t>
      </w:r>
    </w:p>
    <w:p w:rsidR="002F07BF" w:rsidRDefault="00214F45" w:rsidP="002F07BF">
      <w:pPr>
        <w:autoSpaceDE w:val="0"/>
        <w:autoSpaceDN w:val="0"/>
        <w:adjustRightInd w:val="0"/>
        <w:jc w:val="left"/>
        <w:rPr>
          <w:rFonts w:cs="AdvTTaf7f9f4f.B"/>
          <w:kern w:val="0"/>
        </w:rPr>
      </w:pPr>
      <w:r>
        <w:rPr>
          <w:rFonts w:cs="AdvTTaf7f9f4f.B" w:hint="eastAsia"/>
          <w:kern w:val="0"/>
        </w:rPr>
        <w:t>※以下は、理解を助けるために意訳している。</w:t>
      </w:r>
    </w:p>
    <w:p w:rsidR="002F07BF" w:rsidRPr="00214F45" w:rsidRDefault="002F07BF" w:rsidP="002F07BF">
      <w:pPr>
        <w:autoSpaceDE w:val="0"/>
        <w:autoSpaceDN w:val="0"/>
        <w:adjustRightInd w:val="0"/>
        <w:jc w:val="left"/>
        <w:rPr>
          <w:rFonts w:cs="AdvTTb5929f4c"/>
          <w:color w:val="FF0000"/>
          <w:kern w:val="0"/>
        </w:rPr>
      </w:pPr>
    </w:p>
    <w:tbl>
      <w:tblPr>
        <w:tblStyle w:val="a7"/>
        <w:tblW w:w="0" w:type="auto"/>
        <w:tblLook w:val="04A0" w:firstRow="1" w:lastRow="0" w:firstColumn="1" w:lastColumn="0" w:noHBand="0" w:noVBand="1"/>
      </w:tblPr>
      <w:tblGrid>
        <w:gridCol w:w="1271"/>
        <w:gridCol w:w="7223"/>
      </w:tblGrid>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t>研究背景</w:t>
            </w:r>
          </w:p>
          <w:p w:rsidR="002F07BF" w:rsidRDefault="002F07BF" w:rsidP="003578F3">
            <w:pPr>
              <w:autoSpaceDE w:val="0"/>
              <w:autoSpaceDN w:val="0"/>
              <w:adjustRightInd w:val="0"/>
              <w:jc w:val="left"/>
              <w:rPr>
                <w:rFonts w:cs="AdvTTb5929f4c"/>
                <w:kern w:val="0"/>
              </w:rPr>
            </w:pPr>
          </w:p>
        </w:tc>
        <w:tc>
          <w:tcPr>
            <w:tcW w:w="7223" w:type="dxa"/>
          </w:tcPr>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介入の理論的枠組を提示する。計画した介入がどのようなプロセスを得て患者・家族に益をもたらすかの仮説を明確に示す。</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AC4153" w:rsidRPr="00B34393" w:rsidRDefault="002F07BF" w:rsidP="00AC4153">
            <w:pPr>
              <w:pStyle w:val="a8"/>
              <w:numPr>
                <w:ilvl w:val="0"/>
                <w:numId w:val="1"/>
              </w:numPr>
              <w:autoSpaceDE w:val="0"/>
              <w:autoSpaceDN w:val="0"/>
              <w:adjustRightInd w:val="0"/>
              <w:ind w:leftChars="0"/>
              <w:jc w:val="left"/>
              <w:rPr>
                <w:rFonts w:cs="AdvTTb5929f4c" w:hint="eastAsia"/>
                <w:kern w:val="0"/>
              </w:rPr>
            </w:pPr>
            <w:r w:rsidRPr="00AC4153">
              <w:rPr>
                <w:rFonts w:cs="AdvTTb5929f4c" w:hint="eastAsia"/>
                <w:kern w:val="0"/>
              </w:rPr>
              <w:t>今回の研究の目的が介入の方法を確立し、効果を検証するための数段階のステージのうち、どこにあるのかを明らかにする。（以下の３と同様）</w:t>
            </w:r>
          </w:p>
        </w:tc>
      </w:tr>
      <w:tr w:rsidR="002F07BF" w:rsidTr="003578F3">
        <w:tc>
          <w:tcPr>
            <w:tcW w:w="1271" w:type="dxa"/>
          </w:tcPr>
          <w:p w:rsidR="002F07BF" w:rsidRDefault="002F07BF" w:rsidP="003578F3">
            <w:pPr>
              <w:autoSpaceDE w:val="0"/>
              <w:autoSpaceDN w:val="0"/>
              <w:adjustRightInd w:val="0"/>
              <w:jc w:val="left"/>
              <w:rPr>
                <w:rFonts w:cs="AdvTTb5929f4c"/>
                <w:kern w:val="0"/>
              </w:rPr>
            </w:pPr>
            <w:r>
              <w:rPr>
                <w:rFonts w:cs="AdvTTb5929f4c" w:hint="eastAsia"/>
                <w:b/>
                <w:kern w:val="0"/>
              </w:rPr>
              <w:t>研究計画</w:t>
            </w:r>
          </w:p>
        </w:tc>
        <w:tc>
          <w:tcPr>
            <w:tcW w:w="7223" w:type="dxa"/>
          </w:tcPr>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MRC</w:t>
            </w:r>
            <w:r w:rsidRPr="00AC4153">
              <w:rPr>
                <w:rFonts w:cs="AdvTTb5929f4c" w:hint="eastAsia"/>
                <w:kern w:val="0"/>
              </w:rPr>
              <w:t>による</w:t>
            </w:r>
            <w:r w:rsidRPr="00AC4153">
              <w:rPr>
                <w:rFonts w:cs="AdvTTb5929f4c" w:hint="eastAsia"/>
                <w:kern w:val="0"/>
              </w:rPr>
              <w:t>Co</w:t>
            </w:r>
            <w:r w:rsidRPr="00AC4153">
              <w:rPr>
                <w:rFonts w:cs="AdvTTb5929f4c"/>
                <w:kern w:val="0"/>
              </w:rPr>
              <w:t>mplex Intervention</w:t>
            </w:r>
            <w:r w:rsidRPr="00AC4153">
              <w:rPr>
                <w:rFonts w:cs="AdvTTb5929f4c" w:hint="eastAsia"/>
                <w:kern w:val="0"/>
              </w:rPr>
              <w:t>の開発と評価方法のガイドラインに沿って、今回の研究のステージにあるか、先行研究からそれまでのステップは確立されており、今回の研究を実施することが正当化されるかを示す。ステージとは例えば介入が患者・家族に対して実施可能性であるかを調べる研究、予備的にどのような効果があるか調べる研究、限られた対象や環境で有効であるか、費用対効果があるかを調べる研究、より広く一般的な臨床で有用であるかを調べる研究などである。</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実施可能性を評価するステージでは介入自体が可能であるかという実施可能性と評価やアウトカムの測定が実</w:t>
            </w:r>
            <w:r w:rsidR="00AC4153" w:rsidRPr="00AC4153">
              <w:rPr>
                <w:rFonts w:cs="AdvTTb5929f4c" w:hint="eastAsia"/>
                <w:kern w:val="0"/>
              </w:rPr>
              <w:t>施可能であるかの両方を明らかにする。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既にあるデータを検討し（例えば過去の症例についてカルテを遡って調べる、過去の研究のデータを二次解析するなど）、今回の研究に用いる方法が適切か検討する。すべてのデータを新しく取るのではなく、患者・家族に無用な負担を与えないように既存のデータを最大限に活用する。</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AC4153" w:rsidRPr="00B34393" w:rsidRDefault="002F07BF" w:rsidP="00AC4153">
            <w:pPr>
              <w:pStyle w:val="a8"/>
              <w:numPr>
                <w:ilvl w:val="0"/>
                <w:numId w:val="1"/>
              </w:numPr>
              <w:autoSpaceDE w:val="0"/>
              <w:autoSpaceDN w:val="0"/>
              <w:adjustRightInd w:val="0"/>
              <w:ind w:leftChars="0"/>
              <w:jc w:val="left"/>
              <w:rPr>
                <w:rFonts w:cs="AdvTTb5929f4c" w:hint="eastAsia"/>
                <w:kern w:val="0"/>
              </w:rPr>
            </w:pPr>
            <w:r w:rsidRPr="00AC4153">
              <w:rPr>
                <w:rFonts w:cs="AdvTTb5929f4c" w:hint="eastAsia"/>
                <w:kern w:val="0"/>
              </w:rPr>
              <w:t>適切な研究デザインを用いる。たとえばランダム化比較試験、観察研究、混合研究法など、今回の目的にあった研究デザインを吟味する。</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t>研究チーム</w:t>
            </w:r>
          </w:p>
          <w:p w:rsidR="002F07BF" w:rsidRDefault="002F07BF" w:rsidP="003578F3">
            <w:pPr>
              <w:autoSpaceDE w:val="0"/>
              <w:autoSpaceDN w:val="0"/>
              <w:adjustRightInd w:val="0"/>
              <w:jc w:val="left"/>
              <w:rPr>
                <w:rFonts w:cs="AdvTTb5929f4c"/>
                <w:kern w:val="0"/>
              </w:rPr>
            </w:pPr>
          </w:p>
        </w:tc>
        <w:tc>
          <w:tcPr>
            <w:tcW w:w="7223" w:type="dxa"/>
          </w:tcPr>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様々な立場の人を研究チームに入れる。（１）患者や家族、（２）臨床家、（３）研究デザインやアンケート作成、研究の実施など研究方</w:t>
            </w:r>
            <w:r w:rsidRPr="00AC4153">
              <w:rPr>
                <w:rFonts w:cs="AdvTTb5929f4c" w:hint="eastAsia"/>
                <w:kern w:val="0"/>
              </w:rPr>
              <w:lastRenderedPageBreak/>
              <w:t>法論の専門家、（４）終末期ケアの研究の経験が十分にある研究者</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AC4153" w:rsidRPr="00AC4153" w:rsidRDefault="002F07BF" w:rsidP="00B34393">
            <w:pPr>
              <w:pStyle w:val="a8"/>
              <w:numPr>
                <w:ilvl w:val="0"/>
                <w:numId w:val="1"/>
              </w:numPr>
              <w:autoSpaceDE w:val="0"/>
              <w:autoSpaceDN w:val="0"/>
              <w:adjustRightInd w:val="0"/>
              <w:ind w:leftChars="0"/>
              <w:jc w:val="left"/>
              <w:rPr>
                <w:rFonts w:cs="AdvTTb5929f4c" w:hint="eastAsia"/>
                <w:kern w:val="0"/>
              </w:rPr>
            </w:pPr>
            <w:r w:rsidRPr="00AC4153">
              <w:rPr>
                <w:rFonts w:cs="AdvTTb5929f4c" w:hint="eastAsia"/>
                <w:kern w:val="0"/>
              </w:rPr>
              <w:t>理想的には同じ研究組織がある１つの研究のためだけにあるのではなく、研究チームの一部の人は入れ替わりながらも継続して研究を行ったほうがよい。</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lastRenderedPageBreak/>
              <w:t>倫理</w:t>
            </w:r>
          </w:p>
          <w:p w:rsidR="002F07BF" w:rsidRDefault="002F07BF" w:rsidP="003578F3">
            <w:pPr>
              <w:autoSpaceDE w:val="0"/>
              <w:autoSpaceDN w:val="0"/>
              <w:adjustRightInd w:val="0"/>
              <w:jc w:val="left"/>
              <w:rPr>
                <w:rFonts w:cs="AdvTTb5929f4c"/>
                <w:kern w:val="0"/>
              </w:rPr>
            </w:pPr>
          </w:p>
        </w:tc>
        <w:tc>
          <w:tcPr>
            <w:tcW w:w="7223" w:type="dxa"/>
          </w:tcPr>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MORECare</w:t>
            </w:r>
            <w:r w:rsidRPr="00AC4153">
              <w:rPr>
                <w:rFonts w:cs="AdvTTb5929f4c" w:hint="eastAsia"/>
                <w:kern w:val="0"/>
              </w:rPr>
              <w:t>声明を作成するプロセスにおいて、患者も研究への参加を望んでいる実態が明らかになった。倫理委員会は過度に患者・家族に対して保護的になるため、倫理委員会に研究計画を提出する際には、この</w:t>
            </w:r>
            <w:r w:rsidRPr="00AC4153">
              <w:rPr>
                <w:rFonts w:cs="AdvTTb5929f4c" w:hint="eastAsia"/>
                <w:kern w:val="0"/>
              </w:rPr>
              <w:t>MORECare</w:t>
            </w:r>
            <w:r w:rsidRPr="00AC4153">
              <w:rPr>
                <w:rFonts w:cs="AdvTTb5929f4c" w:hint="eastAsia"/>
                <w:kern w:val="0"/>
              </w:rPr>
              <w:t>声明を参照し終末期の患者・家族への研究の実施が倫理的に問題ないことを主張すべきである</w:t>
            </w:r>
            <w:r w:rsidR="00AC4153">
              <w:rPr>
                <w:rFonts w:cs="AdvTTb5929f4c" w:hint="eastAsia"/>
                <w:kern w:val="0"/>
              </w:rPr>
              <w:t>。</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患者の意思決定能力や同意能力に関しては、法律的な枠組みにそって検討されるべきである。患者にとって利益をもたらす可能性がある介入であれば、患者が望むなら参加できる機会を保障すべきである。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患者や家族と協働して研究計画を立案する。とくに研究の説明で分かりやすい言葉を使うこと、同意を取る手続き、その他すべての倫理的側面に関して。</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1"/>
              </w:numPr>
              <w:autoSpaceDE w:val="0"/>
              <w:autoSpaceDN w:val="0"/>
              <w:adjustRightInd w:val="0"/>
              <w:ind w:leftChars="0"/>
              <w:jc w:val="left"/>
              <w:rPr>
                <w:rFonts w:cs="AdvTTb5929f4c"/>
                <w:kern w:val="0"/>
              </w:rPr>
            </w:pPr>
            <w:r w:rsidRPr="00AC4153">
              <w:rPr>
                <w:rFonts w:cs="AdvTTb5929f4c" w:hint="eastAsia"/>
                <w:kern w:val="0"/>
              </w:rPr>
              <w:t>患者の視点から、この研究の必要性を主張するために、患者や家族の倫理委員会への同席も検討すべきである。</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1"/>
              </w:numPr>
              <w:autoSpaceDE w:val="0"/>
              <w:autoSpaceDN w:val="0"/>
              <w:adjustRightInd w:val="0"/>
              <w:ind w:leftChars="0"/>
              <w:jc w:val="left"/>
              <w:rPr>
                <w:rFonts w:cs="AdvTTb5929f4c" w:hint="eastAsia"/>
                <w:kern w:val="0"/>
              </w:rPr>
            </w:pPr>
            <w:r w:rsidRPr="00AC4153">
              <w:rPr>
                <w:rFonts w:cs="AdvTTb5929f4c" w:hint="eastAsia"/>
                <w:kern w:val="0"/>
              </w:rPr>
              <w:t>患者・家族から収集する情報の量（たとえばアンケートや検査など）は研究のステージや患者・家族に与える負担を十分に考慮して最小限のものにするべきである。</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t>研究参加者</w:t>
            </w:r>
          </w:p>
          <w:p w:rsidR="002F07BF" w:rsidRDefault="002F07BF" w:rsidP="003578F3">
            <w:pPr>
              <w:autoSpaceDE w:val="0"/>
              <w:autoSpaceDN w:val="0"/>
              <w:adjustRightInd w:val="0"/>
              <w:jc w:val="left"/>
              <w:rPr>
                <w:rFonts w:cs="AdvTTb5929f4c"/>
                <w:kern w:val="0"/>
              </w:rPr>
            </w:pPr>
          </w:p>
        </w:tc>
        <w:tc>
          <w:tcPr>
            <w:tcW w:w="7223" w:type="dxa"/>
          </w:tcPr>
          <w:p w:rsidR="002F07BF" w:rsidRPr="005953B5" w:rsidRDefault="002F07BF" w:rsidP="00B34393">
            <w:pPr>
              <w:autoSpaceDE w:val="0"/>
              <w:autoSpaceDN w:val="0"/>
              <w:adjustRightInd w:val="0"/>
              <w:jc w:val="left"/>
              <w:rPr>
                <w:rFonts w:cs="AdvTTb5929f4c"/>
                <w:kern w:val="0"/>
              </w:rPr>
            </w:pPr>
            <w:r w:rsidRPr="00F83A07">
              <w:rPr>
                <w:rFonts w:cs="AdvTTb5929f4c"/>
                <w:kern w:val="0"/>
              </w:rPr>
              <w:t xml:space="preserve">14. </w:t>
            </w:r>
            <w:r>
              <w:rPr>
                <w:rFonts w:cs="AdvTTb5929f4c" w:hint="eastAsia"/>
                <w:kern w:val="0"/>
              </w:rPr>
              <w:t>患者・家族の適格基準はその介入により利益がもたらされる可能性が高い集団に絞るべきである。その際に、介入の有無により利益があるかどうかは研究をしてみないとわからないという均衡性の原則は十分に保障されるべきである。</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t>研究の具体的な方法</w:t>
            </w:r>
          </w:p>
          <w:p w:rsidR="002F07BF" w:rsidRDefault="002F07BF" w:rsidP="003578F3">
            <w:pPr>
              <w:autoSpaceDE w:val="0"/>
              <w:autoSpaceDN w:val="0"/>
              <w:adjustRightInd w:val="0"/>
              <w:jc w:val="left"/>
              <w:rPr>
                <w:rFonts w:cs="AdvTTb5929f4c"/>
                <w:kern w:val="0"/>
              </w:rPr>
            </w:pPr>
          </w:p>
        </w:tc>
        <w:tc>
          <w:tcPr>
            <w:tcW w:w="7223" w:type="dxa"/>
          </w:tcPr>
          <w:p w:rsidR="002F07BF" w:rsidRPr="00AC4153" w:rsidRDefault="00AA2836" w:rsidP="00AC4153">
            <w:pPr>
              <w:pStyle w:val="a8"/>
              <w:numPr>
                <w:ilvl w:val="0"/>
                <w:numId w:val="2"/>
              </w:numPr>
              <w:autoSpaceDE w:val="0"/>
              <w:autoSpaceDN w:val="0"/>
              <w:adjustRightInd w:val="0"/>
              <w:ind w:leftChars="0"/>
              <w:jc w:val="left"/>
              <w:rPr>
                <w:rFonts w:cs="AdvTTb5929f4c"/>
                <w:kern w:val="0"/>
              </w:rPr>
            </w:pPr>
            <w:r>
              <w:rPr>
                <w:rFonts w:cs="AdvTTb5929f4c" w:hint="eastAsia"/>
                <w:kern w:val="0"/>
              </w:rPr>
              <w:t>スタ</w:t>
            </w:r>
            <w:bookmarkStart w:id="0" w:name="_GoBack"/>
            <w:bookmarkEnd w:id="0"/>
            <w:r w:rsidR="002F07BF" w:rsidRPr="00AC4153">
              <w:rPr>
                <w:rFonts w:cs="AdvTTb5929f4c" w:hint="eastAsia"/>
                <w:kern w:val="0"/>
              </w:rPr>
              <w:t>ッフの負担はできる限り少なくするべきである。</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何度も患者へのインタビューが行われるような場合には、日常臨床と研究の一環としてのインタビューはしっかりと区別して記録されるべきである</w:t>
            </w:r>
            <w:r w:rsidR="00AC4153" w:rsidRPr="00AC4153">
              <w:rPr>
                <w:rFonts w:cs="AdvTTb5929f4c" w:hint="eastAsia"/>
                <w:kern w:val="0"/>
              </w:rPr>
              <w:t>。</w:t>
            </w:r>
          </w:p>
        </w:tc>
      </w:tr>
      <w:tr w:rsidR="002F07BF" w:rsidTr="003578F3">
        <w:tc>
          <w:tcPr>
            <w:tcW w:w="1271" w:type="dxa"/>
          </w:tcPr>
          <w:p w:rsidR="002F07BF" w:rsidRDefault="002F07BF" w:rsidP="003578F3">
            <w:pPr>
              <w:autoSpaceDE w:val="0"/>
              <w:autoSpaceDN w:val="0"/>
              <w:adjustRightInd w:val="0"/>
              <w:jc w:val="left"/>
              <w:rPr>
                <w:rFonts w:cs="AdvTTb5929f4c"/>
                <w:kern w:val="0"/>
              </w:rPr>
            </w:pPr>
            <w:r>
              <w:rPr>
                <w:rFonts w:cs="AdvTTb5929f4c" w:hint="eastAsia"/>
                <w:b/>
                <w:kern w:val="0"/>
              </w:rPr>
              <w:t>アウトカムの評価</w:t>
            </w:r>
          </w:p>
        </w:tc>
        <w:tc>
          <w:tcPr>
            <w:tcW w:w="7223" w:type="dxa"/>
          </w:tcPr>
          <w:p w:rsidR="00AC4153" w:rsidRPr="00AC4153" w:rsidRDefault="002F07BF" w:rsidP="00AC415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以下の基準を満たす評価尺度を選ぶこと</w:t>
            </w:r>
          </w:p>
          <w:p w:rsidR="002F07BF" w:rsidRDefault="002F07BF" w:rsidP="003578F3">
            <w:pPr>
              <w:autoSpaceDE w:val="0"/>
              <w:autoSpaceDN w:val="0"/>
              <w:adjustRightInd w:val="0"/>
              <w:jc w:val="left"/>
              <w:rPr>
                <w:rFonts w:cs="AdvTTb5929f4c+20"/>
                <w:kern w:val="0"/>
              </w:rPr>
            </w:pPr>
            <w:r w:rsidRPr="00F83A07">
              <w:rPr>
                <w:rFonts w:cs="AdvTTb5929f4c+20"/>
                <w:kern w:val="0"/>
              </w:rPr>
              <w:t xml:space="preserve">• </w:t>
            </w:r>
            <w:r>
              <w:rPr>
                <w:rFonts w:cs="AdvTTb5929f4c+20" w:hint="eastAsia"/>
                <w:kern w:val="0"/>
              </w:rPr>
              <w:t>対象となる患者・家族の集団で信頼性・妥当性が保証されていること</w:t>
            </w:r>
          </w:p>
          <w:p w:rsidR="002F07BF" w:rsidRDefault="002F07BF" w:rsidP="003578F3">
            <w:pPr>
              <w:autoSpaceDE w:val="0"/>
              <w:autoSpaceDN w:val="0"/>
              <w:adjustRightInd w:val="0"/>
              <w:jc w:val="left"/>
              <w:rPr>
                <w:rFonts w:cs="AdvTTb5929f4c+20"/>
                <w:kern w:val="0"/>
              </w:rPr>
            </w:pPr>
            <w:r w:rsidRPr="00F83A07">
              <w:rPr>
                <w:rFonts w:cs="AdvTTb5929f4c+20"/>
                <w:kern w:val="0"/>
              </w:rPr>
              <w:lastRenderedPageBreak/>
              <w:t xml:space="preserve">• </w:t>
            </w:r>
            <w:r>
              <w:rPr>
                <w:rFonts w:cs="AdvTTb5929f4c+20" w:hint="eastAsia"/>
                <w:kern w:val="0"/>
              </w:rPr>
              <w:t>介入によって変化があった場合に、その変化を捕まえられる感度（反応性）を持つこと</w:t>
            </w:r>
            <w:r w:rsidRPr="00F83A07">
              <w:rPr>
                <w:rFonts w:cs="AdvTTb5929f4c+20"/>
                <w:kern w:val="0"/>
              </w:rPr>
              <w:t xml:space="preserve">• </w:t>
            </w:r>
            <w:r>
              <w:rPr>
                <w:rFonts w:cs="AdvTTb5929f4c+20" w:hint="eastAsia"/>
                <w:kern w:val="0"/>
              </w:rPr>
              <w:t>臨床的に意義があるものであること</w:t>
            </w:r>
          </w:p>
          <w:p w:rsidR="002F07BF" w:rsidRDefault="002F07BF" w:rsidP="003578F3">
            <w:pPr>
              <w:autoSpaceDE w:val="0"/>
              <w:autoSpaceDN w:val="0"/>
              <w:adjustRightInd w:val="0"/>
              <w:jc w:val="left"/>
              <w:rPr>
                <w:rFonts w:cs="AdvTTb5929f4c+20"/>
                <w:kern w:val="0"/>
              </w:rPr>
            </w:pPr>
            <w:r w:rsidRPr="00F83A07">
              <w:rPr>
                <w:rFonts w:cs="AdvTTb5929f4c+20"/>
                <w:kern w:val="0"/>
              </w:rPr>
              <w:t xml:space="preserve">• </w:t>
            </w:r>
            <w:r w:rsidR="003E2ABE">
              <w:rPr>
                <w:rFonts w:cs="AdvTTb5929f4c+20" w:hint="eastAsia"/>
                <w:kern w:val="0"/>
              </w:rPr>
              <w:t>容易に収集でき、解釈できること。短く、</w:t>
            </w:r>
            <w:r>
              <w:rPr>
                <w:rFonts w:cs="AdvTTb5929f4c+20" w:hint="eastAsia"/>
                <w:kern w:val="0"/>
              </w:rPr>
              <w:t>雑でないものが望ましい。</w:t>
            </w:r>
          </w:p>
          <w:p w:rsidR="002F07BF" w:rsidRDefault="002F07BF" w:rsidP="003578F3">
            <w:pPr>
              <w:autoSpaceDE w:val="0"/>
              <w:autoSpaceDN w:val="0"/>
              <w:adjustRightInd w:val="0"/>
              <w:jc w:val="left"/>
              <w:rPr>
                <w:rFonts w:cs="AdvTTb5929f4c+20"/>
                <w:kern w:val="0"/>
              </w:rPr>
            </w:pPr>
            <w:r w:rsidRPr="00F83A07">
              <w:rPr>
                <w:rFonts w:cs="AdvTTb5929f4c+20"/>
                <w:kern w:val="0"/>
              </w:rPr>
              <w:t xml:space="preserve">• </w:t>
            </w:r>
            <w:r>
              <w:rPr>
                <w:rFonts w:cs="AdvTTb5929f4c+20" w:hint="eastAsia"/>
                <w:kern w:val="0"/>
              </w:rPr>
              <w:t>ケアの場が異なっても共通して用いることが出来ること。例えば病院、緩和ケア病棟、在宅ケアなど。</w:t>
            </w:r>
          </w:p>
          <w:p w:rsidR="002F07BF" w:rsidRDefault="002F07BF" w:rsidP="003578F3">
            <w:pPr>
              <w:autoSpaceDE w:val="0"/>
              <w:autoSpaceDN w:val="0"/>
              <w:adjustRightInd w:val="0"/>
              <w:jc w:val="left"/>
              <w:rPr>
                <w:rFonts w:cs="AdvTTb5929f4c+20"/>
                <w:kern w:val="0"/>
              </w:rPr>
            </w:pPr>
            <w:r w:rsidRPr="00F83A07">
              <w:rPr>
                <w:rFonts w:cs="AdvTTb5929f4c+20"/>
                <w:kern w:val="0"/>
              </w:rPr>
              <w:t xml:space="preserve">• </w:t>
            </w:r>
            <w:r>
              <w:rPr>
                <w:rFonts w:cs="AdvTTb5929f4c+20" w:hint="eastAsia"/>
                <w:kern w:val="0"/>
              </w:rPr>
              <w:t>臨床的なケアにおいても用いることが可能なこと。研究のためだけの尺度ではなく。</w:t>
            </w:r>
          </w:p>
          <w:p w:rsidR="002F07BF" w:rsidRDefault="002F07BF" w:rsidP="003578F3">
            <w:pPr>
              <w:autoSpaceDE w:val="0"/>
              <w:autoSpaceDN w:val="0"/>
              <w:adjustRightInd w:val="0"/>
              <w:jc w:val="left"/>
              <w:rPr>
                <w:rFonts w:cs="AdvTTb5929f4c+20"/>
                <w:kern w:val="0"/>
              </w:rPr>
            </w:pPr>
            <w:r w:rsidRPr="00F83A07">
              <w:rPr>
                <w:rFonts w:cs="AdvTTb5929f4c+20"/>
                <w:kern w:val="0"/>
              </w:rPr>
              <w:t xml:space="preserve">• </w:t>
            </w:r>
            <w:r>
              <w:rPr>
                <w:rFonts w:cs="AdvTTb5929f4c+20" w:hint="eastAsia"/>
                <w:kern w:val="0"/>
              </w:rPr>
              <w:t>レスポンス・シフトの問題が最小限なもの。</w:t>
            </w:r>
          </w:p>
          <w:p w:rsidR="00AC4153" w:rsidRDefault="00AC4153" w:rsidP="003578F3">
            <w:pPr>
              <w:autoSpaceDE w:val="0"/>
              <w:autoSpaceDN w:val="0"/>
              <w:adjustRightInd w:val="0"/>
              <w:jc w:val="left"/>
              <w:rPr>
                <w:rFonts w:cs="AdvTTb5929f4c+20" w:hint="eastAsia"/>
                <w:kern w:val="0"/>
              </w:rPr>
            </w:pPr>
          </w:p>
          <w:p w:rsidR="00AC4153" w:rsidRPr="00AC4153" w:rsidRDefault="002F07BF" w:rsidP="00AC415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「患者がケア受ける主観的な体験」を含むべきである。これは多くの介入研究の主たる目的である。</w:t>
            </w:r>
          </w:p>
          <w:p w:rsidR="00AC4153" w:rsidRDefault="00AC4153" w:rsidP="003578F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測定時点を検討する際には、介入の効果が出るまでに必要な時間を確保することと、死亡や認知機能低下などによって測定できなくなることのバランスをよく考えて、早い時点でも効果の測定をすることを検討すること。</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レスポンス・シフトが起こることの可能性をよく考えること。レスポンス・シフトとは患者の中で内的基準、価値観、意味などが変動することである。レスポンス・シフトの可能性を考慮したアンケートの作成方法があるので、それを用いることが望ましい場合がある。</w:t>
            </w:r>
          </w:p>
        </w:tc>
      </w:tr>
      <w:tr w:rsidR="002F07BF" w:rsidTr="003578F3">
        <w:tc>
          <w:tcPr>
            <w:tcW w:w="1271" w:type="dxa"/>
          </w:tcPr>
          <w:p w:rsidR="002F07BF" w:rsidRPr="005953B5" w:rsidRDefault="002F07BF" w:rsidP="003578F3">
            <w:pPr>
              <w:autoSpaceDE w:val="0"/>
              <w:autoSpaceDN w:val="0"/>
              <w:adjustRightInd w:val="0"/>
              <w:jc w:val="left"/>
              <w:rPr>
                <w:rFonts w:cs="AdvTTb5929f4c"/>
                <w:b/>
                <w:kern w:val="0"/>
              </w:rPr>
            </w:pPr>
            <w:r w:rsidRPr="005953B5">
              <w:rPr>
                <w:rFonts w:cs="AdvTTb5929f4c" w:hint="eastAsia"/>
                <w:b/>
                <w:kern w:val="0"/>
              </w:rPr>
              <w:lastRenderedPageBreak/>
              <w:t>欠損値や死亡、認知機能低下などによりデータ収集ができないこと</w:t>
            </w:r>
          </w:p>
          <w:p w:rsidR="002F07BF" w:rsidRPr="005953B5" w:rsidRDefault="002F07BF" w:rsidP="003578F3">
            <w:pPr>
              <w:autoSpaceDE w:val="0"/>
              <w:autoSpaceDN w:val="0"/>
              <w:adjustRightInd w:val="0"/>
              <w:jc w:val="left"/>
              <w:rPr>
                <w:rFonts w:cs="AdvTTb5929f4c"/>
                <w:kern w:val="0"/>
              </w:rPr>
            </w:pPr>
          </w:p>
        </w:tc>
        <w:tc>
          <w:tcPr>
            <w:tcW w:w="7223" w:type="dxa"/>
          </w:tcPr>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どのように欠損値やデータ収集ができない事態が起こるか、それはどれくらいの頻度かを事前によく検討しておくことが望ましい。目標症例数を決定するときには、これらを十分に考慮して行い、場合によっては家族や医療者からの代理評価の必要性も検討すべきで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研究実施中にデータの収集状況を常にモニタリングし、どのような理由で欠損やデータ収集ができない事態が起こっているかを確認する。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大抵の場合は量的研究のデータ欠損はランダムには起こっていないことを念頭に置くべきである。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欠損値に対して何らかのデータの補完を行う場合は、何種類かの補完方法を試してみるべきである。安易に補完方法に頼るのではなく、「すべての項目が得られた対象のデータのみを使う」のも１つの方法で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データが得られない理由は、</w:t>
            </w:r>
            <w:r w:rsidRPr="00AC4153">
              <w:rPr>
                <w:rFonts w:cs="AdvTTb5929f4c"/>
                <w:kern w:val="0"/>
              </w:rPr>
              <w:t>MOREC</w:t>
            </w:r>
            <w:r w:rsidRPr="00AC4153">
              <w:rPr>
                <w:rFonts w:cs="AdvTTb5929f4c" w:hint="eastAsia"/>
                <w:kern w:val="0"/>
              </w:rPr>
              <w:t>are</w:t>
            </w:r>
            <w:r w:rsidRPr="00AC4153">
              <w:rPr>
                <w:rFonts w:cs="AdvTTb5929f4c" w:hint="eastAsia"/>
                <w:kern w:val="0"/>
              </w:rPr>
              <w:t>プロジェクトで得られた分類を用いて整理されることが望ましい。「死亡による欠損」「病状悪化による欠損」「ランダムによる欠損」などである。</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これらのほかにもデータが欠損となる理由はさまざまである。例えばアンケートの体裁の不備による質問の見逃しなど。データ分析や補完方法を用いる際にはこれらをよく考慮するべきである。</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lastRenderedPageBreak/>
              <w:t>混合研究法</w:t>
            </w:r>
          </w:p>
          <w:p w:rsidR="002F07BF" w:rsidRDefault="002F07BF" w:rsidP="003578F3">
            <w:pPr>
              <w:autoSpaceDE w:val="0"/>
              <w:autoSpaceDN w:val="0"/>
              <w:adjustRightInd w:val="0"/>
              <w:jc w:val="left"/>
              <w:rPr>
                <w:rFonts w:cs="AdvTTb5929f4c"/>
                <w:kern w:val="0"/>
              </w:rPr>
            </w:pPr>
          </w:p>
        </w:tc>
        <w:tc>
          <w:tcPr>
            <w:tcW w:w="7223" w:type="dxa"/>
          </w:tcPr>
          <w:p w:rsid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介入方法の開発や評価に関して、すべての段階で混合研究法を用いるのが望ましい。</w:t>
            </w:r>
          </w:p>
          <w:p w:rsidR="00AC4153" w:rsidRPr="00AC4153" w:rsidRDefault="00AC4153" w:rsidP="00AC4153">
            <w:pPr>
              <w:pStyle w:val="a8"/>
              <w:autoSpaceDE w:val="0"/>
              <w:autoSpaceDN w:val="0"/>
              <w:adjustRightInd w:val="0"/>
              <w:ind w:leftChars="0" w:left="36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医学研究、看護研究、心理研究などの多くの専門分野の研究方法のよい点を考慮しつつ、それらを混合して適切な研究方法を組み立てる。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最初に想定した理論的な枠組みと研究から得られたデータを統合し、慎重にデータを分析する。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質的データと量的データを分析する方法を十分に計画的に行わないと、非常に複雑で大変な作業になる。そのためには、データ収集は質的データと量的データを独立して行う、質問の内容を厳選する、対象者のサンプリングを適切に行うなど事前に十分に考えておく必要が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対象者が自分の感情を表現するような質的なインタビューではインタビューをすることで患者・家族に対して治療的な効果を持つことがあることを念頭に置く。インタビュー自体が介入になっていることがある。</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質的データ取集では、インタビューアーが十分にトレーニングされている必要がある。</w:t>
            </w:r>
          </w:p>
        </w:tc>
      </w:tr>
      <w:tr w:rsidR="002F07BF" w:rsidTr="003578F3">
        <w:tc>
          <w:tcPr>
            <w:tcW w:w="1271" w:type="dxa"/>
          </w:tcPr>
          <w:p w:rsidR="002F07BF" w:rsidRDefault="002F07BF" w:rsidP="003578F3">
            <w:pPr>
              <w:autoSpaceDE w:val="0"/>
              <w:autoSpaceDN w:val="0"/>
              <w:adjustRightInd w:val="0"/>
              <w:jc w:val="left"/>
              <w:rPr>
                <w:rFonts w:cs="AdvTTb5929f4c"/>
                <w:kern w:val="0"/>
              </w:rPr>
            </w:pPr>
            <w:r>
              <w:rPr>
                <w:rFonts w:cs="AdvTTb5929f4c" w:hint="eastAsia"/>
                <w:b/>
                <w:kern w:val="0"/>
              </w:rPr>
              <w:t>研究成果の臨床への適用</w:t>
            </w:r>
          </w:p>
        </w:tc>
        <w:tc>
          <w:tcPr>
            <w:tcW w:w="7223" w:type="dxa"/>
          </w:tcPr>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研究のすべての段階において研究成果をどのように臨床に適用するかを十分に考えておく必要がある。そのために人的なコストやトレーニングがどれくらい必要かなど。</w:t>
            </w:r>
          </w:p>
        </w:tc>
      </w:tr>
      <w:tr w:rsidR="002F07BF" w:rsidTr="003578F3">
        <w:tc>
          <w:tcPr>
            <w:tcW w:w="1271" w:type="dxa"/>
          </w:tcPr>
          <w:p w:rsidR="002F07BF" w:rsidRDefault="002F07BF" w:rsidP="003578F3">
            <w:pPr>
              <w:autoSpaceDE w:val="0"/>
              <w:autoSpaceDN w:val="0"/>
              <w:adjustRightInd w:val="0"/>
              <w:jc w:val="left"/>
              <w:rPr>
                <w:rFonts w:cs="AdvTTb5929f4c"/>
                <w:b/>
                <w:kern w:val="0"/>
              </w:rPr>
            </w:pPr>
            <w:r>
              <w:rPr>
                <w:rFonts w:cs="AdvTTb5929f4c" w:hint="eastAsia"/>
                <w:b/>
                <w:kern w:val="0"/>
              </w:rPr>
              <w:t>費用対効果</w:t>
            </w:r>
          </w:p>
          <w:p w:rsidR="002F07BF" w:rsidRDefault="002F07BF" w:rsidP="003578F3">
            <w:pPr>
              <w:autoSpaceDE w:val="0"/>
              <w:autoSpaceDN w:val="0"/>
              <w:adjustRightInd w:val="0"/>
              <w:jc w:val="left"/>
              <w:rPr>
                <w:rFonts w:cs="AdvTTb5929f4c"/>
                <w:kern w:val="0"/>
              </w:rPr>
            </w:pPr>
          </w:p>
        </w:tc>
        <w:tc>
          <w:tcPr>
            <w:tcW w:w="7223" w:type="dxa"/>
          </w:tcPr>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t>研究の初期段階で十分に実施可能性や予備的な有効性の探索をしておくべきである。</w:t>
            </w:r>
          </w:p>
          <w:p w:rsidR="00AC4153" w:rsidRPr="00AC4153" w:rsidRDefault="00AC4153" w:rsidP="00AC4153">
            <w:pPr>
              <w:autoSpaceDE w:val="0"/>
              <w:autoSpaceDN w:val="0"/>
              <w:adjustRightInd w:val="0"/>
              <w:jc w:val="left"/>
              <w:rPr>
                <w:rFonts w:cs="AdvTTb5929f4c" w:hint="eastAsia"/>
                <w:kern w:val="0"/>
              </w:rPr>
            </w:pPr>
          </w:p>
          <w:p w:rsidR="002F07BF" w:rsidRPr="00AC4153" w:rsidRDefault="002F07BF" w:rsidP="00AC4153">
            <w:pPr>
              <w:pStyle w:val="a8"/>
              <w:numPr>
                <w:ilvl w:val="0"/>
                <w:numId w:val="2"/>
              </w:numPr>
              <w:autoSpaceDE w:val="0"/>
              <w:autoSpaceDN w:val="0"/>
              <w:adjustRightInd w:val="0"/>
              <w:ind w:leftChars="0"/>
              <w:jc w:val="left"/>
              <w:rPr>
                <w:rFonts w:cs="AdvTTb5929f4c"/>
                <w:kern w:val="0"/>
              </w:rPr>
            </w:pPr>
            <w:r w:rsidRPr="00AC4153">
              <w:rPr>
                <w:rFonts w:cs="AdvTTb5929f4c" w:hint="eastAsia"/>
                <w:kern w:val="0"/>
              </w:rPr>
              <w:lastRenderedPageBreak/>
              <w:t>介入のコストを検討する場合には、介入自体のコストだけでなく医療サービスの利用や家族やボランティアによるケアによるコストや社会的な負担なども考慮するべきである。</w:t>
            </w:r>
          </w:p>
          <w:p w:rsidR="00AC4153" w:rsidRPr="00AC4153" w:rsidRDefault="00AC4153" w:rsidP="00AC4153">
            <w:pPr>
              <w:autoSpaceDE w:val="0"/>
              <w:autoSpaceDN w:val="0"/>
              <w:adjustRightInd w:val="0"/>
              <w:jc w:val="left"/>
              <w:rPr>
                <w:rFonts w:cs="AdvTTb5929f4c" w:hint="eastAsia"/>
                <w:kern w:val="0"/>
              </w:rPr>
            </w:pPr>
          </w:p>
          <w:p w:rsidR="00AC4153" w:rsidRPr="00AC4153" w:rsidRDefault="002F07BF" w:rsidP="00B34393">
            <w:pPr>
              <w:pStyle w:val="a8"/>
              <w:numPr>
                <w:ilvl w:val="0"/>
                <w:numId w:val="2"/>
              </w:numPr>
              <w:autoSpaceDE w:val="0"/>
              <w:autoSpaceDN w:val="0"/>
              <w:adjustRightInd w:val="0"/>
              <w:ind w:leftChars="0"/>
              <w:jc w:val="left"/>
              <w:rPr>
                <w:rFonts w:cs="AdvTTb5929f4c" w:hint="eastAsia"/>
                <w:kern w:val="0"/>
              </w:rPr>
            </w:pPr>
            <w:r w:rsidRPr="00AC4153">
              <w:rPr>
                <w:rFonts w:cs="AdvTTb5929f4c" w:hint="eastAsia"/>
                <w:kern w:val="0"/>
              </w:rPr>
              <w:t>費用対効果の計算に関しては、終末期医療の評価として適切な方法を用いるべきである。</w:t>
            </w:r>
          </w:p>
        </w:tc>
      </w:tr>
    </w:tbl>
    <w:p w:rsidR="002F07BF" w:rsidRDefault="002F07BF" w:rsidP="002F07BF">
      <w:pPr>
        <w:autoSpaceDE w:val="0"/>
        <w:autoSpaceDN w:val="0"/>
        <w:adjustRightInd w:val="0"/>
        <w:jc w:val="left"/>
        <w:rPr>
          <w:rFonts w:cs="AdvTTb5929f4c"/>
          <w:kern w:val="0"/>
        </w:rPr>
      </w:pPr>
    </w:p>
    <w:p w:rsidR="00992717" w:rsidRDefault="00992717" w:rsidP="00992717">
      <w:pPr>
        <w:autoSpaceDE w:val="0"/>
        <w:autoSpaceDN w:val="0"/>
        <w:adjustRightInd w:val="0"/>
        <w:jc w:val="left"/>
        <w:rPr>
          <w:rFonts w:cs="AdvTTb5929f4c"/>
          <w:kern w:val="0"/>
        </w:rPr>
      </w:pPr>
    </w:p>
    <w:sectPr w:rsidR="009927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2DA" w:rsidRDefault="008542DA" w:rsidP="003C4293">
      <w:r>
        <w:separator/>
      </w:r>
    </w:p>
  </w:endnote>
  <w:endnote w:type="continuationSeparator" w:id="0">
    <w:p w:rsidR="008542DA" w:rsidRDefault="008542DA" w:rsidP="003C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dvTTaf7f9f4f.B">
    <w:altName w:val="Arial"/>
    <w:panose1 w:val="00000000000000000000"/>
    <w:charset w:val="00"/>
    <w:family w:val="swiss"/>
    <w:notTrueType/>
    <w:pitch w:val="default"/>
    <w:sig w:usb0="00000003" w:usb1="00000000" w:usb2="00000000" w:usb3="00000000" w:csb0="00000001" w:csb1="00000000"/>
  </w:font>
  <w:font w:name="AdvTTb5929f4c">
    <w:altName w:val="Arial"/>
    <w:panose1 w:val="00000000000000000000"/>
    <w:charset w:val="00"/>
    <w:family w:val="swiss"/>
    <w:notTrueType/>
    <w:pitch w:val="default"/>
    <w:sig w:usb0="00000003" w:usb1="00000000" w:usb2="00000000" w:usb3="00000000" w:csb0="00000001" w:csb1="00000000"/>
  </w:font>
  <w:font w:name="AdvTTb5929f4c+20">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2DA" w:rsidRDefault="008542DA" w:rsidP="003C4293">
      <w:r>
        <w:separator/>
      </w:r>
    </w:p>
  </w:footnote>
  <w:footnote w:type="continuationSeparator" w:id="0">
    <w:p w:rsidR="008542DA" w:rsidRDefault="008542DA" w:rsidP="003C4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A0D94"/>
    <w:multiLevelType w:val="hybridMultilevel"/>
    <w:tmpl w:val="3020AC9A"/>
    <w:lvl w:ilvl="0" w:tplc="AC4A306C">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65744"/>
    <w:multiLevelType w:val="hybridMultilevel"/>
    <w:tmpl w:val="96C6BEDA"/>
    <w:lvl w:ilvl="0" w:tplc="B32AC4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xsjA3N7cwNjczMzdS0lEKTi0uzszPAykwqwUAZRQGOiwAAAA="/>
  </w:docVars>
  <w:rsids>
    <w:rsidRoot w:val="00C517F9"/>
    <w:rsid w:val="0016025A"/>
    <w:rsid w:val="001721BF"/>
    <w:rsid w:val="001B2CEB"/>
    <w:rsid w:val="00214F45"/>
    <w:rsid w:val="00295AAF"/>
    <w:rsid w:val="002F07BF"/>
    <w:rsid w:val="0033103A"/>
    <w:rsid w:val="003769CF"/>
    <w:rsid w:val="00391C37"/>
    <w:rsid w:val="003B10E9"/>
    <w:rsid w:val="003C4293"/>
    <w:rsid w:val="003D43E9"/>
    <w:rsid w:val="003E2ABE"/>
    <w:rsid w:val="003F240E"/>
    <w:rsid w:val="0053004F"/>
    <w:rsid w:val="005B1513"/>
    <w:rsid w:val="005B34FC"/>
    <w:rsid w:val="005E71E0"/>
    <w:rsid w:val="006B57B4"/>
    <w:rsid w:val="006D654D"/>
    <w:rsid w:val="007F6DAA"/>
    <w:rsid w:val="008542DA"/>
    <w:rsid w:val="00992717"/>
    <w:rsid w:val="00A21314"/>
    <w:rsid w:val="00A4091E"/>
    <w:rsid w:val="00AA2836"/>
    <w:rsid w:val="00AA43AD"/>
    <w:rsid w:val="00AC2760"/>
    <w:rsid w:val="00AC4153"/>
    <w:rsid w:val="00B1229D"/>
    <w:rsid w:val="00B34393"/>
    <w:rsid w:val="00C476C7"/>
    <w:rsid w:val="00C517F9"/>
    <w:rsid w:val="00C87A3D"/>
    <w:rsid w:val="00D62EE1"/>
    <w:rsid w:val="00DF5467"/>
    <w:rsid w:val="00F42D0A"/>
    <w:rsid w:val="00F67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957F9"/>
  <w15:chartTrackingRefBased/>
  <w15:docId w15:val="{473285EC-BE5C-4D5B-800D-F26BD024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293"/>
    <w:pPr>
      <w:widowControl w:val="0"/>
      <w:jc w:val="both"/>
    </w:pPr>
    <w:rPr>
      <w:rFonts w:ascii="Century" w:eastAsia="ＭＳ 明朝" w:hAnsi="Century"/>
      <w:szCs w:val="21"/>
    </w:rPr>
  </w:style>
  <w:style w:type="paragraph" w:styleId="1">
    <w:name w:val="heading 1"/>
    <w:basedOn w:val="a"/>
    <w:next w:val="a"/>
    <w:link w:val="10"/>
    <w:uiPriority w:val="9"/>
    <w:qFormat/>
    <w:rsid w:val="00391C37"/>
    <w:pPr>
      <w:keepNext/>
      <w:outlineLvl w:val="0"/>
    </w:pPr>
    <w:rPr>
      <w:rFonts w:ascii="ＭＳ ゴシック" w:eastAsia="ＭＳ ゴシック" w:hAnsi="ＭＳ ゴシック" w:cstheme="majorBidi"/>
      <w:sz w:val="32"/>
      <w:szCs w:val="32"/>
    </w:rPr>
  </w:style>
  <w:style w:type="paragraph" w:styleId="2">
    <w:name w:val="heading 2"/>
    <w:basedOn w:val="a"/>
    <w:next w:val="a"/>
    <w:link w:val="20"/>
    <w:uiPriority w:val="9"/>
    <w:unhideWhenUsed/>
    <w:qFormat/>
    <w:rsid w:val="00391C37"/>
    <w:pPr>
      <w:keepNext/>
      <w:outlineLvl w:val="1"/>
    </w:pPr>
    <w:rPr>
      <w:rFonts w:ascii="ＭＳ ゴシック" w:eastAsia="ＭＳ ゴシック" w:hAnsi="ＭＳ ゴシック"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9CF"/>
    <w:pPr>
      <w:tabs>
        <w:tab w:val="center" w:pos="4252"/>
        <w:tab w:val="right" w:pos="8504"/>
      </w:tabs>
      <w:snapToGrid w:val="0"/>
    </w:pPr>
  </w:style>
  <w:style w:type="character" w:customStyle="1" w:styleId="a4">
    <w:name w:val="ヘッダー (文字)"/>
    <w:basedOn w:val="a0"/>
    <w:link w:val="a3"/>
    <w:uiPriority w:val="99"/>
    <w:rsid w:val="003769CF"/>
  </w:style>
  <w:style w:type="paragraph" w:styleId="a5">
    <w:name w:val="footer"/>
    <w:basedOn w:val="a"/>
    <w:link w:val="a6"/>
    <w:uiPriority w:val="99"/>
    <w:unhideWhenUsed/>
    <w:rsid w:val="003769CF"/>
    <w:pPr>
      <w:tabs>
        <w:tab w:val="center" w:pos="4252"/>
        <w:tab w:val="right" w:pos="8504"/>
      </w:tabs>
      <w:snapToGrid w:val="0"/>
    </w:pPr>
  </w:style>
  <w:style w:type="character" w:customStyle="1" w:styleId="a6">
    <w:name w:val="フッター (文字)"/>
    <w:basedOn w:val="a0"/>
    <w:link w:val="a5"/>
    <w:uiPriority w:val="99"/>
    <w:rsid w:val="003769CF"/>
  </w:style>
  <w:style w:type="character" w:customStyle="1" w:styleId="10">
    <w:name w:val="見出し 1 (文字)"/>
    <w:basedOn w:val="a0"/>
    <w:link w:val="1"/>
    <w:uiPriority w:val="9"/>
    <w:rsid w:val="00391C37"/>
    <w:rPr>
      <w:rFonts w:ascii="ＭＳ ゴシック" w:eastAsia="ＭＳ ゴシック" w:hAnsi="ＭＳ ゴシック" w:cstheme="majorBidi"/>
      <w:sz w:val="32"/>
      <w:szCs w:val="32"/>
    </w:rPr>
  </w:style>
  <w:style w:type="character" w:customStyle="1" w:styleId="20">
    <w:name w:val="見出し 2 (文字)"/>
    <w:basedOn w:val="a0"/>
    <w:link w:val="2"/>
    <w:uiPriority w:val="9"/>
    <w:rsid w:val="00391C37"/>
    <w:rPr>
      <w:rFonts w:ascii="ＭＳ ゴシック" w:eastAsia="ＭＳ ゴシック" w:hAnsi="ＭＳ ゴシック" w:cstheme="majorBidi"/>
      <w:sz w:val="24"/>
      <w:szCs w:val="24"/>
    </w:rPr>
  </w:style>
  <w:style w:type="table" w:styleId="a7">
    <w:name w:val="Table Grid"/>
    <w:basedOn w:val="a1"/>
    <w:uiPriority w:val="59"/>
    <w:rsid w:val="002F0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87A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C4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80">
      <w:bodyDiv w:val="1"/>
      <w:marLeft w:val="0"/>
      <w:marRight w:val="0"/>
      <w:marTop w:val="0"/>
      <w:marBottom w:val="0"/>
      <w:divBdr>
        <w:top w:val="none" w:sz="0" w:space="0" w:color="auto"/>
        <w:left w:val="none" w:sz="0" w:space="0" w:color="auto"/>
        <w:bottom w:val="none" w:sz="0" w:space="0" w:color="auto"/>
        <w:right w:val="none" w:sz="0" w:space="0" w:color="auto"/>
      </w:divBdr>
    </w:div>
    <w:div w:id="762844933">
      <w:bodyDiv w:val="1"/>
      <w:marLeft w:val="0"/>
      <w:marRight w:val="0"/>
      <w:marTop w:val="0"/>
      <w:marBottom w:val="0"/>
      <w:divBdr>
        <w:top w:val="none" w:sz="0" w:space="0" w:color="auto"/>
        <w:left w:val="none" w:sz="0" w:space="0" w:color="auto"/>
        <w:bottom w:val="none" w:sz="0" w:space="0" w:color="auto"/>
        <w:right w:val="none" w:sz="0" w:space="0" w:color="auto"/>
      </w:divBdr>
    </w:div>
    <w:div w:id="1810318279">
      <w:bodyDiv w:val="1"/>
      <w:marLeft w:val="0"/>
      <w:marRight w:val="0"/>
      <w:marTop w:val="0"/>
      <w:marBottom w:val="0"/>
      <w:divBdr>
        <w:top w:val="none" w:sz="0" w:space="0" w:color="auto"/>
        <w:left w:val="none" w:sz="0" w:space="0" w:color="auto"/>
        <w:bottom w:val="none" w:sz="0" w:space="0" w:color="auto"/>
        <w:right w:val="none" w:sz="0" w:space="0" w:color="auto"/>
      </w:divBdr>
    </w:div>
    <w:div w:id="18561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2019-07-29T08:59:00Z</dcterms:created>
  <dcterms:modified xsi:type="dcterms:W3CDTF">2020-02-23T06:51:00Z</dcterms:modified>
</cp:coreProperties>
</file>